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8AE2" w14:textId="53CF31AA" w:rsidR="003A2268" w:rsidRDefault="00212B23" w:rsidP="003A2268">
      <w:bookmarkStart w:id="0" w:name="_GoBack"/>
      <w:bookmarkEnd w:id="0"/>
      <w:r>
        <w:t>In S</w:t>
      </w:r>
      <w:r w:rsidR="003A2268">
        <w:t xml:space="preserve">pring 2017 the </w:t>
      </w:r>
      <w:r w:rsidR="008A19D2">
        <w:t xml:space="preserve">Dana Center and individuals from the </w:t>
      </w:r>
      <w:r w:rsidR="003A2268">
        <w:t>West Texas Region developed and distributed</w:t>
      </w:r>
      <w:r>
        <w:t xml:space="preserve"> a survey planning tool for a </w:t>
      </w:r>
      <w:r w:rsidR="003A2268">
        <w:t>f</w:t>
      </w:r>
      <w:r w:rsidR="002A1571">
        <w:t>all West Texas Convening. </w:t>
      </w:r>
      <w:proofErr w:type="spellStart"/>
      <w:proofErr w:type="gramStart"/>
      <w:r w:rsidR="003A2268">
        <w:t>It</w:t>
      </w:r>
      <w:r w:rsidR="00A131BC">
        <w:t>’</w:t>
      </w:r>
      <w:r w:rsidR="003A2268">
        <w:t>s</w:t>
      </w:r>
      <w:proofErr w:type="spellEnd"/>
      <w:proofErr w:type="gramEnd"/>
      <w:r w:rsidR="003A2268">
        <w:t xml:space="preserve"> contents were based primarily on information gleaned from </w:t>
      </w:r>
      <w:r w:rsidR="00F74F1C">
        <w:t xml:space="preserve">previous </w:t>
      </w:r>
      <w:r>
        <w:t>site-</w:t>
      </w:r>
      <w:r w:rsidR="003A2268">
        <w:t xml:space="preserve">visits and conversations with the institutional representatives of the nine community colleges and six universities that make up the West Texas </w:t>
      </w:r>
      <w:r w:rsidR="00B210A5">
        <w:t>Region.</w:t>
      </w:r>
      <w:r w:rsidR="003A2268">
        <w:t xml:space="preserve"> The object of the survey was to </w:t>
      </w:r>
      <w:r w:rsidR="00F74F1C">
        <w:t>identify</w:t>
      </w:r>
      <w:r w:rsidR="003A2268">
        <w:t xml:space="preserve"> topics t</w:t>
      </w:r>
      <w:r>
        <w:t>o be covered at a regional</w:t>
      </w:r>
      <w:r w:rsidR="00B210A5">
        <w:t xml:space="preserve"> convening. </w:t>
      </w:r>
    </w:p>
    <w:p w14:paraId="3AFBD8D3" w14:textId="57489CC1" w:rsidR="003A2268" w:rsidRDefault="00F74F1C" w:rsidP="003A2268">
      <w:r>
        <w:t>Section I below</w:t>
      </w:r>
      <w:r w:rsidR="003A2268">
        <w:t xml:space="preserve"> is a summary of survey results ranked according to participant </w:t>
      </w:r>
      <w:r>
        <w:t>responses</w:t>
      </w:r>
      <w:r w:rsidR="003A2268">
        <w:t>.</w:t>
      </w:r>
      <w:r>
        <w:t xml:space="preserve"> Section II summarizes participant comments.</w:t>
      </w:r>
    </w:p>
    <w:p w14:paraId="35F09A4E" w14:textId="0CAAD123" w:rsidR="00A83FD5" w:rsidRPr="00212B23" w:rsidRDefault="00F74F1C" w:rsidP="00F74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</w:rPr>
      </w:pPr>
      <w:r w:rsidRPr="00212B23">
        <w:rPr>
          <w:rFonts w:cstheme="minorHAnsi"/>
          <w:b/>
          <w:color w:val="00000A"/>
        </w:rPr>
        <w:t>I.</w:t>
      </w:r>
      <w:r w:rsidRPr="00212B23">
        <w:rPr>
          <w:b/>
        </w:rPr>
        <w:t xml:space="preserve"> </w:t>
      </w:r>
      <w:r w:rsidR="00A83FD5" w:rsidRPr="00212B23">
        <w:rPr>
          <w:rFonts w:cstheme="minorHAnsi"/>
          <w:b/>
          <w:color w:val="00000A"/>
        </w:rPr>
        <w:t>Topic and Sub-Topic Ranking</w:t>
      </w:r>
    </w:p>
    <w:p w14:paraId="6A5C71AF" w14:textId="77777777" w:rsidR="00A83FD5" w:rsidRDefault="00A83FD5" w:rsidP="001363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14:paraId="77822E1F" w14:textId="7A00A255" w:rsidR="006D3247" w:rsidRPr="006D3247" w:rsidRDefault="006D3247" w:rsidP="001363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247">
        <w:rPr>
          <w:rFonts w:cstheme="minorHAnsi"/>
          <w:color w:val="00000A"/>
        </w:rPr>
        <w:t>Mathematical Pathways</w:t>
      </w:r>
      <w:r w:rsidR="00212B23">
        <w:rPr>
          <w:rFonts w:cstheme="minorHAnsi"/>
          <w:color w:val="00000A"/>
        </w:rPr>
        <w:t xml:space="preserve"> (t</w:t>
      </w:r>
      <w:r w:rsidR="001B6B91">
        <w:rPr>
          <w:rFonts w:cstheme="minorHAnsi"/>
          <w:color w:val="00000A"/>
        </w:rPr>
        <w:t>ie for first place)</w:t>
      </w:r>
    </w:p>
    <w:p w14:paraId="58305C83" w14:textId="77777777" w:rsidR="006D3247" w:rsidRPr="006D3247" w:rsidRDefault="006D3247" w:rsidP="006D32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247">
        <w:rPr>
          <w:rFonts w:cstheme="minorHAnsi"/>
          <w:color w:val="00000A"/>
        </w:rPr>
        <w:t>Monitoring students on their pathways</w:t>
      </w:r>
    </w:p>
    <w:p w14:paraId="5259F42A" w14:textId="6615235A" w:rsidR="006D3247" w:rsidRDefault="006D3247" w:rsidP="006D32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247">
        <w:rPr>
          <w:rFonts w:cstheme="minorHAnsi"/>
        </w:rPr>
        <w:t>Recovering</w:t>
      </w:r>
      <w:r>
        <w:rPr>
          <w:rFonts w:cstheme="minorHAnsi"/>
        </w:rPr>
        <w:t xml:space="preserve"> students who falter on a pathway</w:t>
      </w:r>
      <w:r w:rsidR="00212B23">
        <w:rPr>
          <w:rFonts w:cstheme="minorHAnsi"/>
        </w:rPr>
        <w:t xml:space="preserve"> (t</w:t>
      </w:r>
      <w:r w:rsidR="008218FC">
        <w:rPr>
          <w:rFonts w:cstheme="minorHAnsi"/>
        </w:rPr>
        <w:t>ie)</w:t>
      </w:r>
    </w:p>
    <w:p w14:paraId="5FF8E2A5" w14:textId="3F8EFCC6" w:rsidR="006D3247" w:rsidRDefault="006D3247" w:rsidP="006D32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Encouraging continuous enrollment in math until completion</w:t>
      </w:r>
      <w:r w:rsidR="00212B23">
        <w:rPr>
          <w:rFonts w:cstheme="minorHAnsi"/>
        </w:rPr>
        <w:t xml:space="preserve"> (t</w:t>
      </w:r>
      <w:r w:rsidR="008218FC">
        <w:rPr>
          <w:rFonts w:cstheme="minorHAnsi"/>
        </w:rPr>
        <w:t>ie)</w:t>
      </w:r>
    </w:p>
    <w:p w14:paraId="6A1BC9A7" w14:textId="77777777" w:rsidR="006D3247" w:rsidRDefault="006D3247" w:rsidP="006D32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Connecting pathways to specific university degrees</w:t>
      </w:r>
    </w:p>
    <w:p w14:paraId="4713F338" w14:textId="41438B6D" w:rsidR="006D3247" w:rsidRDefault="006D3247" w:rsidP="001B6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Curriculum/Pedagogy</w:t>
      </w:r>
      <w:r w:rsidR="00212B23">
        <w:rPr>
          <w:rFonts w:cstheme="minorHAnsi"/>
        </w:rPr>
        <w:t xml:space="preserve"> (t</w:t>
      </w:r>
      <w:r w:rsidR="001B6B91">
        <w:rPr>
          <w:rFonts w:cstheme="minorHAnsi"/>
        </w:rPr>
        <w:t>ie for first place)</w:t>
      </w:r>
    </w:p>
    <w:p w14:paraId="6366863B" w14:textId="77777777" w:rsidR="006D3247" w:rsidRDefault="006D3247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Choosing or developing math pathway curriculum</w:t>
      </w:r>
    </w:p>
    <w:p w14:paraId="6F386BEF" w14:textId="4EB12BC3" w:rsidR="006D3247" w:rsidRDefault="006D3247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Coordinating math curriculum across institutions (high school, community college, university)</w:t>
      </w:r>
    </w:p>
    <w:p w14:paraId="62919C3E" w14:textId="0A933D0E" w:rsidR="006D3247" w:rsidRDefault="006D3247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Reviewing developmental</w:t>
      </w:r>
      <w:r w:rsidR="00212B23">
        <w:rPr>
          <w:rFonts w:cstheme="minorHAnsi"/>
        </w:rPr>
        <w:t xml:space="preserve"> math</w:t>
      </w:r>
      <w:r>
        <w:rPr>
          <w:rFonts w:cstheme="minorHAnsi"/>
        </w:rPr>
        <w:t xml:space="preserve"> approaches (e.g., co-</w:t>
      </w:r>
      <w:r w:rsidR="001B6B91">
        <w:rPr>
          <w:rFonts w:cstheme="minorHAnsi"/>
        </w:rPr>
        <w:t>requisite, online, hybrid</w:t>
      </w:r>
      <w:r>
        <w:rPr>
          <w:rFonts w:cstheme="minorHAnsi"/>
        </w:rPr>
        <w:t>)</w:t>
      </w:r>
    </w:p>
    <w:p w14:paraId="0723F070" w14:textId="77777777" w:rsidR="001B6B91" w:rsidRDefault="001B6B91" w:rsidP="001B6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Transfer/Applicability</w:t>
      </w:r>
    </w:p>
    <w:p w14:paraId="08CB9A1C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Exploring issues related to course transfer (e.g., course numbering)</w:t>
      </w:r>
    </w:p>
    <w:p w14:paraId="05E3D81A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Increasing the level of transfer coordination between institutions</w:t>
      </w:r>
    </w:p>
    <w:p w14:paraId="10E60C34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Exploring issues related to financial aid (e.g., dual registration, accumulated credits)</w:t>
      </w:r>
    </w:p>
    <w:p w14:paraId="646EE78D" w14:textId="77777777" w:rsidR="001B6B91" w:rsidRDefault="001B6B91" w:rsidP="001B6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Advising</w:t>
      </w:r>
    </w:p>
    <w:p w14:paraId="0DB60310" w14:textId="4AC4FE9B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Exploring advising strategies</w:t>
      </w:r>
      <w:r w:rsidR="00212B23">
        <w:rPr>
          <w:rFonts w:cstheme="minorHAnsi"/>
        </w:rPr>
        <w:t>, t</w:t>
      </w:r>
      <w:r>
        <w:rPr>
          <w:rFonts w:cstheme="minorHAnsi"/>
        </w:rPr>
        <w:t>echniques, and processes</w:t>
      </w:r>
    </w:p>
    <w:p w14:paraId="1AA03370" w14:textId="621ABBB6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Transitioning students </w:t>
      </w:r>
      <w:r w:rsidR="00212B23">
        <w:rPr>
          <w:rFonts w:cstheme="minorHAnsi"/>
        </w:rPr>
        <w:t>into pathways</w:t>
      </w:r>
    </w:p>
    <w:p w14:paraId="0EE21320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Increasing advisor confidence in transferability of math courses</w:t>
      </w:r>
    </w:p>
    <w:p w14:paraId="12047863" w14:textId="77777777" w:rsidR="001B6B91" w:rsidRDefault="001B6B91" w:rsidP="001B6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Professional Development</w:t>
      </w:r>
    </w:p>
    <w:p w14:paraId="508B2590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Learning about classroom instructional practices</w:t>
      </w:r>
    </w:p>
    <w:p w14:paraId="052CD69D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Exploring faculty/advisor/staff training options</w:t>
      </w:r>
    </w:p>
    <w:p w14:paraId="2431FB96" w14:textId="77777777" w:rsidR="001B6B91" w:rsidRDefault="001B6B91" w:rsidP="001B6B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Supporting professional learning (e.g., cost, time, incentives)</w:t>
      </w:r>
    </w:p>
    <w:p w14:paraId="2C8D65F6" w14:textId="77777777" w:rsidR="00A83FD5" w:rsidRDefault="00A83FD5" w:rsidP="00A83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Data and Evaluation</w:t>
      </w:r>
    </w:p>
    <w:p w14:paraId="478D583F" w14:textId="77777777" w:rsidR="00A83FD5" w:rsidRDefault="00A83FD5" w:rsidP="00A83F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Choosing the best measures to track pathway success</w:t>
      </w:r>
    </w:p>
    <w:p w14:paraId="147F467A" w14:textId="77777777" w:rsidR="00A83FD5" w:rsidRDefault="00A83FD5" w:rsidP="00A83F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Considering cross-institutional assessment for the future</w:t>
      </w:r>
    </w:p>
    <w:p w14:paraId="71BF64C6" w14:textId="77777777" w:rsidR="00A83FD5" w:rsidRDefault="00A83FD5" w:rsidP="00A83F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Implementing valid assessment (e.g., methods, applications, follow-up)</w:t>
      </w:r>
    </w:p>
    <w:p w14:paraId="5689F172" w14:textId="77777777" w:rsidR="00A83FD5" w:rsidRDefault="00A83FD5" w:rsidP="00A83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8373" w14:textId="2520C91E" w:rsidR="00A83FD5" w:rsidRPr="00212B23" w:rsidRDefault="00F74F1C" w:rsidP="00A83FD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12B23">
        <w:rPr>
          <w:rFonts w:cstheme="minorHAnsi"/>
          <w:b/>
        </w:rPr>
        <w:t xml:space="preserve">II. </w:t>
      </w:r>
      <w:r w:rsidR="0006251A" w:rsidRPr="00212B23">
        <w:rPr>
          <w:rFonts w:cstheme="minorHAnsi"/>
          <w:b/>
        </w:rPr>
        <w:t>Comments Summary</w:t>
      </w:r>
    </w:p>
    <w:p w14:paraId="7FBF8EDE" w14:textId="77777777" w:rsidR="00A83FD5" w:rsidRDefault="00A83FD5" w:rsidP="00A83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8CE69" w14:textId="28B5ECBC" w:rsidR="00A83FD5" w:rsidRPr="0006251A" w:rsidRDefault="00A83FD5" w:rsidP="00A83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247">
        <w:rPr>
          <w:rFonts w:cstheme="minorHAnsi"/>
          <w:color w:val="00000A"/>
        </w:rPr>
        <w:t>Mathematical Pathways</w:t>
      </w:r>
      <w:r w:rsidR="00212B23">
        <w:rPr>
          <w:rFonts w:cstheme="minorHAnsi"/>
          <w:color w:val="00000A"/>
        </w:rPr>
        <w:t xml:space="preserve"> (t</w:t>
      </w:r>
      <w:r>
        <w:rPr>
          <w:rFonts w:cstheme="minorHAnsi"/>
          <w:color w:val="00000A"/>
        </w:rPr>
        <w:t>ie for first place)</w:t>
      </w:r>
    </w:p>
    <w:p w14:paraId="0273846A" w14:textId="77777777" w:rsidR="0006251A" w:rsidRPr="006D3247" w:rsidRDefault="0006251A" w:rsidP="0006251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A"/>
        </w:rPr>
        <w:t>Successes</w:t>
      </w:r>
    </w:p>
    <w:p w14:paraId="24AB8A23" w14:textId="77777777" w:rsidR="00A83FD5" w:rsidRPr="00A83FD5" w:rsidRDefault="00A83FD5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A"/>
        </w:rPr>
        <w:t>Use of the Emporium Model for math</w:t>
      </w:r>
    </w:p>
    <w:p w14:paraId="63DF19F6" w14:textId="77777777" w:rsidR="00A83FD5" w:rsidRPr="00A83FD5" w:rsidRDefault="00A83FD5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A"/>
        </w:rPr>
        <w:t>Clearly differentiating STEM and non-STEM Pathways</w:t>
      </w:r>
    </w:p>
    <w:p w14:paraId="00F3DA86" w14:textId="77777777" w:rsidR="00A83FD5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Retention rate success</w:t>
      </w:r>
    </w:p>
    <w:p w14:paraId="2612E63A" w14:textId="77777777" w:rsidR="0006251A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Implementation of 8-week courses</w:t>
      </w:r>
    </w:p>
    <w:p w14:paraId="3E17049B" w14:textId="77777777" w:rsidR="0006251A" w:rsidRDefault="0006251A" w:rsidP="0006251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141882DE" w14:textId="77777777" w:rsidR="0006251A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Connecting pathways to university degrees</w:t>
      </w:r>
    </w:p>
    <w:p w14:paraId="0B6144A3" w14:textId="77777777" w:rsidR="0006251A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Continuous and sequential completion of math courses</w:t>
      </w:r>
    </w:p>
    <w:p w14:paraId="2D92C75B" w14:textId="77777777" w:rsidR="0006251A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Recovering “lost” students</w:t>
      </w:r>
    </w:p>
    <w:p w14:paraId="72F6B2FD" w14:textId="77777777" w:rsidR="0006251A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 enough emphasis on understanding versus procedure</w:t>
      </w:r>
    </w:p>
    <w:p w14:paraId="7D3D984E" w14:textId="77777777" w:rsidR="0006251A" w:rsidRDefault="0006251A" w:rsidP="0006251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 this in line with TT’s Jerry Dwyer’s interest in concept versus computation?</w:t>
      </w:r>
    </w:p>
    <w:p w14:paraId="3F08E70A" w14:textId="77777777" w:rsidR="0006251A" w:rsidRPr="006D3247" w:rsidRDefault="0006251A" w:rsidP="000625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STEM drop-outs caused by math failure</w:t>
      </w:r>
    </w:p>
    <w:p w14:paraId="53944A77" w14:textId="653B2093" w:rsidR="00A83FD5" w:rsidRDefault="00212B23" w:rsidP="00A83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Curriculum/Pedagogy (t</w:t>
      </w:r>
      <w:r w:rsidR="00A83FD5">
        <w:rPr>
          <w:rFonts w:cstheme="minorHAnsi"/>
        </w:rPr>
        <w:t>ie for first place)</w:t>
      </w:r>
    </w:p>
    <w:p w14:paraId="7AF99D48" w14:textId="77777777" w:rsidR="0006251A" w:rsidRDefault="0006251A" w:rsidP="000625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Successes</w:t>
      </w:r>
    </w:p>
    <w:p w14:paraId="5513BC21" w14:textId="77777777" w:rsidR="0006251A" w:rsidRDefault="00CA4C86" w:rsidP="0006251A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Improving drop rates</w:t>
      </w:r>
    </w:p>
    <w:p w14:paraId="71252A42" w14:textId="77777777" w:rsidR="00CA4C86" w:rsidRDefault="00CA4C86" w:rsidP="00CA4C8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Asset-based teaching</w:t>
      </w:r>
    </w:p>
    <w:p w14:paraId="39D311E0" w14:textId="77777777" w:rsidR="00E21029" w:rsidRDefault="00E21029" w:rsidP="00E210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7161876D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Lacking development time</w:t>
      </w:r>
    </w:p>
    <w:p w14:paraId="4595649F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Textbook and supplemental instruction (My Math Lab) cost</w:t>
      </w:r>
    </w:p>
    <w:p w14:paraId="0F4203B4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Low quality lecture-based teaching</w:t>
      </w:r>
    </w:p>
    <w:p w14:paraId="7294BEFE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Too much emphasis on </w:t>
      </w:r>
      <w:proofErr w:type="gramStart"/>
      <w:r>
        <w:rPr>
          <w:rFonts w:cstheme="minorHAnsi"/>
        </w:rPr>
        <w:t>procedure based</w:t>
      </w:r>
      <w:proofErr w:type="gramEnd"/>
      <w:r>
        <w:rPr>
          <w:rFonts w:cstheme="minorHAnsi"/>
        </w:rPr>
        <w:t xml:space="preserve"> learning</w:t>
      </w:r>
    </w:p>
    <w:p w14:paraId="4F7015BA" w14:textId="77777777" w:rsidR="00A83FD5" w:rsidRDefault="00A83FD5" w:rsidP="00A83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Transfer/Applicability</w:t>
      </w:r>
    </w:p>
    <w:p w14:paraId="19FE595D" w14:textId="77777777" w:rsidR="00E21029" w:rsidRDefault="00E21029" w:rsidP="00E210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Successes</w:t>
      </w:r>
    </w:p>
    <w:p w14:paraId="4DB701A0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Communication between discipline coordinators and faculty</w:t>
      </w:r>
    </w:p>
    <w:p w14:paraId="00C643DA" w14:textId="77777777" w:rsidR="00A83FD5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Good pre-engineering success after transfer</w:t>
      </w:r>
    </w:p>
    <w:p w14:paraId="5125A4D0" w14:textId="77777777" w:rsidR="00A83FD5" w:rsidRDefault="00E21029" w:rsidP="00A83F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2C309642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Keeping up with program changes at universities</w:t>
      </w:r>
    </w:p>
    <w:p w14:paraId="5F0126FC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Course numbering</w:t>
      </w:r>
    </w:p>
    <w:p w14:paraId="4A41768D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Acceptance of STEM and health field courses</w:t>
      </w:r>
    </w:p>
    <w:p w14:paraId="4C6DD35E" w14:textId="77777777" w:rsidR="00A83FD5" w:rsidRDefault="00A83FD5" w:rsidP="00A83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Advising</w:t>
      </w:r>
    </w:p>
    <w:p w14:paraId="2C529651" w14:textId="77777777" w:rsidR="00E21029" w:rsidRDefault="00E21029" w:rsidP="00E210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Successes</w:t>
      </w:r>
    </w:p>
    <w:p w14:paraId="775D5ABE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Use of faculty advisors and meta-major groupings</w:t>
      </w:r>
    </w:p>
    <w:p w14:paraId="536F2980" w14:textId="77777777" w:rsidR="00E21029" w:rsidRDefault="00E2102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Including advisors and counselors in faculty initiatives</w:t>
      </w:r>
    </w:p>
    <w:p w14:paraId="6A9804B7" w14:textId="237E0185" w:rsidR="00E21029" w:rsidRDefault="00002219" w:rsidP="00E2102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Workshop</w:t>
      </w:r>
      <w:r w:rsidR="00FE3C07">
        <w:rPr>
          <w:rFonts w:cstheme="minorHAnsi"/>
        </w:rPr>
        <w:t>s</w:t>
      </w:r>
      <w:r>
        <w:rPr>
          <w:rFonts w:cstheme="minorHAnsi"/>
        </w:rPr>
        <w:t xml:space="preserve"> to help advisors and counselors better understand different math courses</w:t>
      </w:r>
    </w:p>
    <w:p w14:paraId="64F9CBED" w14:textId="77777777" w:rsidR="00A83FD5" w:rsidRDefault="00002219" w:rsidP="00A83F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5E112F11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Monitoring at-risk students</w:t>
      </w:r>
    </w:p>
    <w:p w14:paraId="54479590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Lack of communication between advisors and discipline coordinators</w:t>
      </w:r>
    </w:p>
    <w:p w14:paraId="59418EDA" w14:textId="76C36A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  <w:r w:rsidR="00FE3C07">
        <w:rPr>
          <w:rFonts w:cstheme="minorHAnsi"/>
        </w:rPr>
        <w:t>t</w:t>
      </w:r>
      <w:r>
        <w:rPr>
          <w:rFonts w:cstheme="minorHAnsi"/>
        </w:rPr>
        <w:t xml:space="preserve"> enough advisors for the number of </w:t>
      </w:r>
      <w:r w:rsidR="00FE3C07">
        <w:rPr>
          <w:rFonts w:cstheme="minorHAnsi"/>
        </w:rPr>
        <w:t>students</w:t>
      </w:r>
    </w:p>
    <w:p w14:paraId="43121D5B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Confusion with placement</w:t>
      </w:r>
    </w:p>
    <w:p w14:paraId="28FD15EF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Confusion with co-requisite math offerings</w:t>
      </w:r>
    </w:p>
    <w:p w14:paraId="103F3E8E" w14:textId="26311954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Matching students with instructors based on teaching style rather than recommendations </w:t>
      </w:r>
      <w:r w:rsidR="00FE3C07">
        <w:rPr>
          <w:rFonts w:cstheme="minorHAnsi"/>
        </w:rPr>
        <w:t xml:space="preserve">such as </w:t>
      </w:r>
      <w:r>
        <w:rPr>
          <w:rFonts w:cstheme="minorHAnsi"/>
        </w:rPr>
        <w:t xml:space="preserve">“easy” </w:t>
      </w:r>
      <w:r w:rsidR="00FE3C07">
        <w:rPr>
          <w:rFonts w:cstheme="minorHAnsi"/>
        </w:rPr>
        <w:t>versus</w:t>
      </w:r>
      <w:r>
        <w:rPr>
          <w:rFonts w:cstheme="minorHAnsi"/>
        </w:rPr>
        <w:t xml:space="preserve"> “har</w:t>
      </w:r>
      <w:r w:rsidR="00212B23">
        <w:rPr>
          <w:rFonts w:cstheme="minorHAnsi"/>
        </w:rPr>
        <w:t>d”</w:t>
      </w:r>
    </w:p>
    <w:p w14:paraId="654F810F" w14:textId="77777777" w:rsidR="00A83FD5" w:rsidRDefault="00A83FD5" w:rsidP="00A83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Professional Development</w:t>
      </w:r>
    </w:p>
    <w:p w14:paraId="3617147C" w14:textId="77777777" w:rsidR="00A83FD5" w:rsidRDefault="00002219" w:rsidP="00A83F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Successes</w:t>
      </w:r>
    </w:p>
    <w:p w14:paraId="2E79B270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Creation of a Center for Faculty and Leadership Development</w:t>
      </w:r>
    </w:p>
    <w:p w14:paraId="0DBF40EB" w14:textId="77777777" w:rsidR="00002219" w:rsidRDefault="00002219" w:rsidP="000022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Presentations during faculty development week</w:t>
      </w:r>
    </w:p>
    <w:p w14:paraId="7D2A1CC2" w14:textId="77777777" w:rsidR="00002219" w:rsidRPr="009A3079" w:rsidRDefault="00002219" w:rsidP="009A307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Organized and regular math related workshops</w:t>
      </w:r>
    </w:p>
    <w:p w14:paraId="539E30D1" w14:textId="77777777" w:rsidR="00A83FD5" w:rsidRDefault="009A3079" w:rsidP="00A83F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76C3A2F4" w14:textId="527DAC98" w:rsidR="009A3079" w:rsidRDefault="009A3079" w:rsidP="009A307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Increase</w:t>
      </w:r>
      <w:r w:rsidR="00FE3C07">
        <w:rPr>
          <w:rFonts w:cstheme="minorHAnsi"/>
        </w:rPr>
        <w:t>d</w:t>
      </w:r>
      <w:r>
        <w:rPr>
          <w:rFonts w:cstheme="minorHAnsi"/>
        </w:rPr>
        <w:t xml:space="preserve"> and wider participation in relevant professional learning</w:t>
      </w:r>
    </w:p>
    <w:p w14:paraId="4A4F7376" w14:textId="77777777" w:rsidR="009A3079" w:rsidRDefault="009A3079" w:rsidP="009A307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Variety of presenters as well as workshop topics</w:t>
      </w:r>
    </w:p>
    <w:p w14:paraId="650D436B" w14:textId="77777777" w:rsidR="00A83FD5" w:rsidRDefault="00A83FD5" w:rsidP="00A83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Data and Evaluation</w:t>
      </w:r>
    </w:p>
    <w:p w14:paraId="48E039A3" w14:textId="77777777" w:rsidR="009A3079" w:rsidRDefault="009A3079" w:rsidP="009A30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Successes</w:t>
      </w:r>
    </w:p>
    <w:p w14:paraId="5D0FECEB" w14:textId="3E9A9529" w:rsidR="009A3079" w:rsidRDefault="00A136C3" w:rsidP="009A307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 data-</w:t>
      </w:r>
      <w:r w:rsidR="009A3079">
        <w:rPr>
          <w:rFonts w:cstheme="minorHAnsi"/>
        </w:rPr>
        <w:t>driven campus working with holistic advising committee</w:t>
      </w:r>
    </w:p>
    <w:p w14:paraId="4700D0E2" w14:textId="77777777" w:rsidR="009A3079" w:rsidRPr="009A3079" w:rsidRDefault="009A3079" w:rsidP="009A307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Good cooperation between IT and IR</w:t>
      </w:r>
    </w:p>
    <w:p w14:paraId="055A3BF5" w14:textId="7571ACFE" w:rsidR="00A83FD5" w:rsidRDefault="00A30B8F" w:rsidP="00A83F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Issues</w:t>
      </w:r>
    </w:p>
    <w:p w14:paraId="25068B34" w14:textId="4A3059B6" w:rsidR="00A30B8F" w:rsidRDefault="00A30B8F" w:rsidP="00A30B8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Faculty leaders need </w:t>
      </w:r>
      <w:r w:rsidR="00401D50">
        <w:rPr>
          <w:rFonts w:cstheme="minorHAnsi"/>
        </w:rPr>
        <w:t xml:space="preserve">more </w:t>
      </w:r>
      <w:r>
        <w:rPr>
          <w:rFonts w:cstheme="minorHAnsi"/>
        </w:rPr>
        <w:t xml:space="preserve">training </w:t>
      </w:r>
      <w:r w:rsidR="00FE3C07">
        <w:rPr>
          <w:rFonts w:cstheme="minorHAnsi"/>
        </w:rPr>
        <w:t xml:space="preserve">in </w:t>
      </w:r>
      <w:r w:rsidR="00401D50">
        <w:rPr>
          <w:rFonts w:cstheme="minorHAnsi"/>
        </w:rPr>
        <w:t xml:space="preserve">use of data </w:t>
      </w:r>
      <w:r>
        <w:rPr>
          <w:rFonts w:cstheme="minorHAnsi"/>
        </w:rPr>
        <w:t>that will give them better ability to plan future steps</w:t>
      </w:r>
    </w:p>
    <w:p w14:paraId="03CC44B4" w14:textId="141AD30F" w:rsidR="00A30B8F" w:rsidRDefault="00A30B8F" w:rsidP="00A30B8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Lots of unread and unused data</w:t>
      </w:r>
    </w:p>
    <w:p w14:paraId="641FACBB" w14:textId="02E17E69" w:rsidR="00A30B8F" w:rsidRDefault="00A30B8F" w:rsidP="00A30B8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 sure that data is “clean” </w:t>
      </w:r>
    </w:p>
    <w:p w14:paraId="71BACEE9" w14:textId="1FBB3519" w:rsidR="00A83FD5" w:rsidRPr="00A30B8F" w:rsidRDefault="00A83FD5" w:rsidP="00A30B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A0C798" w14:textId="77777777" w:rsidR="00A83FD5" w:rsidRDefault="00A83FD5" w:rsidP="00A83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15CAF2" w14:textId="77777777" w:rsidR="00A83FD5" w:rsidRPr="00A83FD5" w:rsidRDefault="00A83FD5" w:rsidP="00A83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83FD5" w:rsidRPr="00A83F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2276" w14:textId="77777777" w:rsidR="005B07C3" w:rsidRDefault="005B07C3" w:rsidP="008218FC">
      <w:pPr>
        <w:spacing w:after="0" w:line="240" w:lineRule="auto"/>
      </w:pPr>
      <w:r>
        <w:separator/>
      </w:r>
    </w:p>
  </w:endnote>
  <w:endnote w:type="continuationSeparator" w:id="0">
    <w:p w14:paraId="7422051A" w14:textId="77777777" w:rsidR="005B07C3" w:rsidRDefault="005B07C3" w:rsidP="0082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0A70" w14:textId="77777777" w:rsidR="005B07C3" w:rsidRDefault="005B07C3" w:rsidP="008218FC">
      <w:pPr>
        <w:spacing w:after="0" w:line="240" w:lineRule="auto"/>
      </w:pPr>
      <w:r>
        <w:separator/>
      </w:r>
    </w:p>
  </w:footnote>
  <w:footnote w:type="continuationSeparator" w:id="0">
    <w:p w14:paraId="0B122E80" w14:textId="77777777" w:rsidR="005B07C3" w:rsidRDefault="005B07C3" w:rsidP="0082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3789" w14:textId="309E7800" w:rsidR="008218FC" w:rsidRPr="008218FC" w:rsidRDefault="008218FC">
    <w:pPr>
      <w:pStyle w:val="Header"/>
      <w:rPr>
        <w:sz w:val="32"/>
      </w:rPr>
    </w:pPr>
    <w:r w:rsidRPr="008218FC">
      <w:rPr>
        <w:sz w:val="32"/>
      </w:rPr>
      <w:ptab w:relativeTo="margin" w:alignment="center" w:leader="none"/>
    </w:r>
    <w:r w:rsidRPr="008218FC">
      <w:rPr>
        <w:sz w:val="32"/>
      </w:rPr>
      <w:t>West Texas Convening Planning Survey Results</w:t>
    </w:r>
    <w:r w:rsidRPr="008218FC">
      <w:rPr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CA8"/>
    <w:multiLevelType w:val="hybridMultilevel"/>
    <w:tmpl w:val="865855B4"/>
    <w:lvl w:ilvl="0" w:tplc="9B70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3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0910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F24647"/>
    <w:multiLevelType w:val="hybridMultilevel"/>
    <w:tmpl w:val="9E3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5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65467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1306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47"/>
    <w:rsid w:val="00002219"/>
    <w:rsid w:val="0006251A"/>
    <w:rsid w:val="001B6B91"/>
    <w:rsid w:val="00212B23"/>
    <w:rsid w:val="002A1571"/>
    <w:rsid w:val="003A2268"/>
    <w:rsid w:val="00401D50"/>
    <w:rsid w:val="004611C4"/>
    <w:rsid w:val="00471A9E"/>
    <w:rsid w:val="0047478D"/>
    <w:rsid w:val="0058418C"/>
    <w:rsid w:val="005B07C3"/>
    <w:rsid w:val="006D3247"/>
    <w:rsid w:val="00786911"/>
    <w:rsid w:val="008218FC"/>
    <w:rsid w:val="00833F10"/>
    <w:rsid w:val="008613B6"/>
    <w:rsid w:val="008A19D2"/>
    <w:rsid w:val="009222CD"/>
    <w:rsid w:val="009A3079"/>
    <w:rsid w:val="00A131BC"/>
    <w:rsid w:val="00A136C3"/>
    <w:rsid w:val="00A30B8F"/>
    <w:rsid w:val="00A83FD5"/>
    <w:rsid w:val="00B210A5"/>
    <w:rsid w:val="00CA4C86"/>
    <w:rsid w:val="00DF3B39"/>
    <w:rsid w:val="00E21029"/>
    <w:rsid w:val="00F74F1C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4B53"/>
  <w15:chartTrackingRefBased/>
  <w15:docId w15:val="{6C277744-1C4C-4DBE-85C1-EC38895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24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24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24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24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24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24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24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24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24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2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FC"/>
  </w:style>
  <w:style w:type="paragraph" w:styleId="Footer">
    <w:name w:val="footer"/>
    <w:basedOn w:val="Normal"/>
    <w:link w:val="FooterChar"/>
    <w:uiPriority w:val="99"/>
    <w:unhideWhenUsed/>
    <w:rsid w:val="0082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Whipple</dc:creator>
  <cp:keywords/>
  <dc:description/>
  <cp:lastModifiedBy>Cook, Heather D</cp:lastModifiedBy>
  <cp:revision>2</cp:revision>
  <dcterms:created xsi:type="dcterms:W3CDTF">2018-04-12T16:07:00Z</dcterms:created>
  <dcterms:modified xsi:type="dcterms:W3CDTF">2018-04-12T16:07:00Z</dcterms:modified>
</cp:coreProperties>
</file>