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0"/>
      </w:tblGrid>
      <w:tr w:rsidR="00235701" w:rsidRPr="00CA22EA" w14:paraId="5AEB7D9F" w14:textId="77777777" w:rsidTr="00E84496">
        <w:tc>
          <w:tcPr>
            <w:tcW w:w="12960" w:type="dxa"/>
          </w:tcPr>
          <w:p w14:paraId="2AB7740A" w14:textId="6A6F9396" w:rsidR="00235701" w:rsidRPr="00CA22EA" w:rsidRDefault="00235701" w:rsidP="00E84496">
            <w:pPr>
              <w:pStyle w:val="NoSpacing"/>
              <w:spacing w:after="120"/>
            </w:pPr>
            <w:r>
              <w:rPr>
                <w:rFonts w:ascii="Century Gothic" w:hAnsi="Century Gothic"/>
                <w:b/>
              </w:rPr>
              <w:t xml:space="preserve">Purpose: </w:t>
            </w:r>
            <w:r>
              <w:t>This tool surfaces important activities, structures, and policies that is essential for implementing and scaling multiple mathematics pathways. It is designed to assess programs over time. Completing this tool at the beginning</w:t>
            </w:r>
            <w:r w:rsidR="00B423BA">
              <w:t xml:space="preserve"> of your work to implement the DC</w:t>
            </w:r>
            <w:r>
              <w:t xml:space="preserve">MP </w:t>
            </w:r>
            <w:r w:rsidR="00B423BA">
              <w:t xml:space="preserve">model </w:t>
            </w:r>
            <w:r>
              <w:t>will provide a baseline assessment of your context. Returning to this assessment periodically will help gauge your progress at different stages of the work.</w:t>
            </w:r>
          </w:p>
        </w:tc>
      </w:tr>
      <w:tr w:rsidR="00235701" w:rsidRPr="00CA22EA" w14:paraId="6B3039A8" w14:textId="77777777" w:rsidTr="00E84496">
        <w:tc>
          <w:tcPr>
            <w:tcW w:w="12960" w:type="dxa"/>
          </w:tcPr>
          <w:p w14:paraId="173F1C5F" w14:textId="5EF1889F" w:rsidR="00235701" w:rsidRPr="00CA22EA" w:rsidRDefault="00235701" w:rsidP="00535241">
            <w:pPr>
              <w:pStyle w:val="NoSpacing"/>
              <w:spacing w:after="120"/>
            </w:pPr>
            <w:r>
              <w:rPr>
                <w:rFonts w:ascii="Century Gothic" w:hAnsi="Century Gothic"/>
                <w:b/>
              </w:rPr>
              <w:t xml:space="preserve">Users: </w:t>
            </w:r>
            <w:r w:rsidR="00535241">
              <w:t>F</w:t>
            </w:r>
            <w:bookmarkStart w:id="0" w:name="_GoBack"/>
            <w:bookmarkEnd w:id="0"/>
            <w:r w:rsidR="005B3615">
              <w:t>acilitator</w:t>
            </w:r>
            <w:r>
              <w:t xml:space="preserve"> and/or co-chairs</w:t>
            </w:r>
          </w:p>
        </w:tc>
      </w:tr>
      <w:tr w:rsidR="00235701" w:rsidRPr="00CA22EA" w14:paraId="6AF31C5E" w14:textId="77777777" w:rsidTr="00E84496">
        <w:tc>
          <w:tcPr>
            <w:tcW w:w="12960" w:type="dxa"/>
          </w:tcPr>
          <w:p w14:paraId="3420D75F" w14:textId="22F195CE" w:rsidR="00235701" w:rsidRPr="00CA22EA" w:rsidRDefault="00235701" w:rsidP="00E84496">
            <w:pPr>
              <w:pStyle w:val="NoSpacing"/>
              <w:spacing w:after="120"/>
            </w:pPr>
            <w:r>
              <w:rPr>
                <w:rFonts w:ascii="Century Gothic" w:hAnsi="Century Gothic"/>
                <w:b/>
              </w:rPr>
              <w:t xml:space="preserve">Instructions: </w:t>
            </w:r>
            <w:r>
              <w:t>Respond to each item using the scale provided, seeking input from others, as appropriate. Comments should be brief (e.g., bullet points or short sentences) about any particular assets or challenges that your state</w:t>
            </w:r>
            <w:r w:rsidR="005B3615">
              <w:t xml:space="preserve"> or region</w:t>
            </w:r>
            <w:r>
              <w:t xml:space="preserve"> brings to the work.</w:t>
            </w:r>
          </w:p>
        </w:tc>
      </w:tr>
    </w:tbl>
    <w:tbl>
      <w:tblPr>
        <w:tblW w:w="13155" w:type="dxa"/>
        <w:tblInd w:w="20" w:type="dxa"/>
        <w:tblLayout w:type="fixed"/>
        <w:tblCellMar>
          <w:left w:w="0" w:type="dxa"/>
          <w:right w:w="0" w:type="dxa"/>
        </w:tblCellMar>
        <w:tblLook w:val="04A0" w:firstRow="1" w:lastRow="0" w:firstColumn="1" w:lastColumn="0" w:noHBand="0" w:noVBand="1"/>
      </w:tblPr>
      <w:tblGrid>
        <w:gridCol w:w="6045"/>
        <w:gridCol w:w="50"/>
        <w:gridCol w:w="40"/>
        <w:gridCol w:w="7020"/>
      </w:tblGrid>
      <w:tr w:rsidR="00235701" w:rsidRPr="00235701" w14:paraId="21BD5238" w14:textId="77777777" w:rsidTr="00235701">
        <w:trPr>
          <w:trHeight w:val="400"/>
          <w:tblHeader/>
        </w:trPr>
        <w:tc>
          <w:tcPr>
            <w:tcW w:w="13155"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F511EC" w14:textId="77777777" w:rsidR="00235701" w:rsidRPr="00235701" w:rsidRDefault="00235701" w:rsidP="00E84496">
            <w:pPr>
              <w:jc w:val="center"/>
              <w:rPr>
                <w:rFonts w:eastAsia="Times New Roman" w:cs="Times New Roman"/>
                <w:b/>
                <w:bCs/>
              </w:rPr>
            </w:pPr>
            <w:r w:rsidRPr="00235701">
              <w:rPr>
                <w:rFonts w:eastAsia="Times New Roman" w:cs="Times New Roman"/>
                <w:b/>
                <w:bCs/>
              </w:rPr>
              <w:t>SCALE:      (1)  None at this time     (2) Emerging     (3) In Progress     (4) Well Developed</w:t>
            </w:r>
          </w:p>
        </w:tc>
      </w:tr>
      <w:tr w:rsidR="00235701" w:rsidRPr="00235701" w14:paraId="0612B415" w14:textId="77777777" w:rsidTr="00235701">
        <w:trPr>
          <w:trHeight w:val="300"/>
        </w:trPr>
        <w:tc>
          <w:tcPr>
            <w:tcW w:w="13155"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15" w:type="dxa"/>
              <w:left w:w="15" w:type="dxa"/>
              <w:bottom w:w="0" w:type="dxa"/>
              <w:right w:w="15" w:type="dxa"/>
            </w:tcMar>
            <w:hideMark/>
          </w:tcPr>
          <w:p w14:paraId="7707ECC2" w14:textId="77777777" w:rsidR="00235701" w:rsidRPr="009B73BF" w:rsidRDefault="00235701" w:rsidP="00E84496">
            <w:pPr>
              <w:spacing w:before="80" w:after="80"/>
              <w:jc w:val="center"/>
              <w:rPr>
                <w:rFonts w:asciiTheme="minorHAnsi" w:eastAsia="Times New Roman" w:hAnsiTheme="minorHAnsi" w:cs="Times New Roman"/>
                <w:b/>
                <w:bCs/>
                <w:color w:val="000000"/>
              </w:rPr>
            </w:pPr>
            <w:r w:rsidRPr="009B73BF">
              <w:rPr>
                <w:rFonts w:asciiTheme="minorHAnsi" w:eastAsia="Times New Roman" w:hAnsiTheme="minorHAnsi" w:cs="Times New Roman"/>
                <w:b/>
                <w:bCs/>
                <w:color w:val="FFFFFF" w:themeColor="background1"/>
              </w:rPr>
              <w:t>Leadership and Commitment</w:t>
            </w:r>
          </w:p>
        </w:tc>
      </w:tr>
      <w:tr w:rsidR="00235701" w:rsidRPr="00235701" w14:paraId="728C64C2" w14:textId="77777777" w:rsidTr="00235701">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169348CC"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Governor, state agency, or other statewide body has articulated a commitment to math pathways (e.g., report, statement).</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B5C724F" w14:textId="77777777" w:rsidR="00235701" w:rsidRPr="00235701" w:rsidRDefault="00235701" w:rsidP="00E84496">
            <w:pPr>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499FD05"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30334F84" w14:textId="77777777" w:rsidTr="00235701">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0F024C4F"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A mathematics faculty task force or committee exists to lead the development of statewide math pathways.</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636207A" w14:textId="77777777" w:rsidR="00235701" w:rsidRPr="00235701" w:rsidRDefault="00235701" w:rsidP="00E84496">
            <w:pPr>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588E7D9"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4D59470D" w14:textId="77777777" w:rsidTr="00235701">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3B7E5312"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lastRenderedPageBreak/>
              <w:t>There is an established hub for math pathways with dedicated staff time and allocated resources.</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845A464"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2C07BC7"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6ED3CC6F" w14:textId="77777777" w:rsidTr="00235701">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75079BAE"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xml:space="preserve">Structured, regular communication vehicles or networks coordinate state leadership and math leadership broadly to advance strategic plans.  </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FEC59DF"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9409CFF"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7A5FDFEF" w14:textId="77777777" w:rsidTr="00235701">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4E56AA72" w14:textId="77777777" w:rsidR="00235701" w:rsidRPr="00235701" w:rsidRDefault="00235701" w:rsidP="00E84496">
            <w:pPr>
              <w:ind w:left="180"/>
              <w:rPr>
                <w:rFonts w:eastAsia="Times New Roman" w:cs="Times New Roman"/>
              </w:rPr>
            </w:pPr>
            <w:r w:rsidRPr="00235701">
              <w:rPr>
                <w:rFonts w:eastAsia="Times New Roman" w:cs="Times New Roman"/>
              </w:rPr>
              <w:t>A commitment to a statewide scale of math pathways is clearly articulated and broadly supported by key stakeholders.</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DD5B572" w14:textId="77777777" w:rsidR="00235701" w:rsidRPr="00235701" w:rsidRDefault="00235701" w:rsidP="00E84496">
            <w:pPr>
              <w:ind w:left="180"/>
              <w:rPr>
                <w:rFonts w:eastAsia="Times New Roman" w:cs="Times New Roman"/>
              </w:rPr>
            </w:pPr>
            <w:r w:rsidRPr="00235701">
              <w:rPr>
                <w:rFonts w:eastAsia="Times New Roman" w:cs="Times New Roman"/>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A9ED50B"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5B3615" w:rsidRPr="00235701" w14:paraId="3ED3B2EA" w14:textId="77777777" w:rsidTr="005B3615">
        <w:trPr>
          <w:trHeight w:val="786"/>
        </w:trPr>
        <w:tc>
          <w:tcPr>
            <w:tcW w:w="13155" w:type="dxa"/>
            <w:gridSpan w:val="4"/>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77EB728" w14:textId="77777777" w:rsidR="005B3615" w:rsidRPr="00235701" w:rsidRDefault="005B3615" w:rsidP="00E84496">
            <w:pPr>
              <w:ind w:left="180"/>
              <w:rPr>
                <w:rFonts w:eastAsia="Times New Roman" w:cs="Times New Roman"/>
                <w:color w:val="000000"/>
              </w:rPr>
            </w:pPr>
            <w:r w:rsidRPr="00235701">
              <w:rPr>
                <w:rFonts w:eastAsia="Times New Roman" w:cs="Times New Roman"/>
                <w:color w:val="000000"/>
              </w:rPr>
              <w:t>Additional reflections related to leadership and commitment:</w:t>
            </w:r>
          </w:p>
          <w:p w14:paraId="32AA63C6" w14:textId="4DC2713B" w:rsidR="005B3615" w:rsidRPr="00235701" w:rsidRDefault="005B3615" w:rsidP="00E84496">
            <w:pPr>
              <w:ind w:left="180"/>
              <w:rPr>
                <w:rFonts w:eastAsia="Times New Roman" w:cs="Times New Roman"/>
                <w:color w:val="000000"/>
              </w:rPr>
            </w:pPr>
            <w:r w:rsidRPr="00235701">
              <w:rPr>
                <w:rFonts w:eastAsia="Times New Roman" w:cs="Times New Roman"/>
                <w:color w:val="000000"/>
              </w:rPr>
              <w:t> </w:t>
            </w:r>
          </w:p>
          <w:p w14:paraId="5287CD16" w14:textId="2387FAB9" w:rsidR="005B3615" w:rsidRPr="00235701" w:rsidRDefault="005B3615" w:rsidP="00E84496">
            <w:pPr>
              <w:ind w:left="180"/>
              <w:rPr>
                <w:rFonts w:eastAsia="Times New Roman" w:cs="Times New Roman"/>
                <w:color w:val="000000"/>
              </w:rPr>
            </w:pPr>
            <w:r w:rsidRPr="00235701">
              <w:rPr>
                <w:rFonts w:eastAsia="Times New Roman" w:cs="Times New Roman"/>
                <w:color w:val="000000"/>
              </w:rPr>
              <w:t> </w:t>
            </w:r>
          </w:p>
        </w:tc>
      </w:tr>
      <w:tr w:rsidR="00235701" w:rsidRPr="00235701" w14:paraId="3B46AC59" w14:textId="77777777" w:rsidTr="00235701">
        <w:trPr>
          <w:trHeight w:val="300"/>
        </w:trPr>
        <w:tc>
          <w:tcPr>
            <w:tcW w:w="13155"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tcMar>
              <w:top w:w="15" w:type="dxa"/>
              <w:left w:w="15" w:type="dxa"/>
              <w:bottom w:w="0" w:type="dxa"/>
              <w:right w:w="15" w:type="dxa"/>
            </w:tcMar>
            <w:vAlign w:val="bottom"/>
            <w:hideMark/>
          </w:tcPr>
          <w:p w14:paraId="2FF09310" w14:textId="77777777" w:rsidR="00235701" w:rsidRPr="009B73BF" w:rsidRDefault="00235701" w:rsidP="00E84496">
            <w:pPr>
              <w:spacing w:before="80" w:after="80"/>
              <w:jc w:val="center"/>
              <w:rPr>
                <w:rFonts w:asciiTheme="minorHAnsi" w:eastAsia="Times New Roman" w:hAnsiTheme="minorHAnsi" w:cs="Times New Roman"/>
                <w:b/>
                <w:bCs/>
                <w:color w:val="000000"/>
              </w:rPr>
            </w:pPr>
            <w:r w:rsidRPr="009B73BF">
              <w:rPr>
                <w:rFonts w:asciiTheme="minorHAnsi" w:eastAsia="Times New Roman" w:hAnsiTheme="minorHAnsi" w:cs="Times New Roman"/>
                <w:b/>
                <w:bCs/>
                <w:color w:val="FFFFFF" w:themeColor="background1"/>
              </w:rPr>
              <w:t>Multiple Math Pathways for Gateway and Developmental Courses</w:t>
            </w:r>
          </w:p>
        </w:tc>
      </w:tr>
      <w:tr w:rsidR="00235701" w:rsidRPr="00235701" w14:paraId="3A2F7E15" w14:textId="77777777" w:rsidTr="00235701">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214E9C83"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Data are used to assess math needs of students in the state.</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FD720AF"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B0DC445"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36B9B416" w14:textId="77777777" w:rsidTr="00235701">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4B04BE80"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lastRenderedPageBreak/>
              <w:t>Two or more math pathways are established with gateway courses that meet the needs of the full range of academic and workforce programs (at a minimum, algebraically-intensive programs and programs that are not algebraically-intensive).</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00D0A4C"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F50B842"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29929667" w14:textId="77777777" w:rsidTr="00235701">
        <w:trPr>
          <w:trHeight w:val="218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0D3E905A"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Statewide, there are designated courses or policies that allow options for developmental mathematics courses or interventions that are aligned to gateway courses (i.e., algebraically-intensive developmental content is not used for non-algebraically intensive gateway courses).</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43496CD"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08A0299"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4670DB22" w14:textId="77777777" w:rsidTr="00235701">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77A0B9B1"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Institutional and state policies enable accelerated developmental education, using one-semester co-requisite or two-semester course pathway models.</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C00B80E"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2A1DB8E"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3ADC0B38" w14:textId="77777777" w:rsidTr="00235701">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72938DA0"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College readiness is not defined by completion of intermediate algebra in state or institutional policy.</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1AD3102"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C3DD333"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7567EDD6" w14:textId="77777777" w:rsidTr="005B3615">
        <w:trPr>
          <w:trHeight w:val="1182"/>
        </w:trPr>
        <w:tc>
          <w:tcPr>
            <w:tcW w:w="13155" w:type="dxa"/>
            <w:gridSpan w:val="4"/>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26A725F5"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Additional reflections related to multiple math pathways for gateway and developmental courses:</w:t>
            </w:r>
          </w:p>
        </w:tc>
      </w:tr>
      <w:tr w:rsidR="00235701" w:rsidRPr="00235701" w14:paraId="61AF2477" w14:textId="77777777" w:rsidTr="00235701">
        <w:trPr>
          <w:trHeight w:val="300"/>
        </w:trPr>
        <w:tc>
          <w:tcPr>
            <w:tcW w:w="13155"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15" w:type="dxa"/>
              <w:left w:w="15" w:type="dxa"/>
              <w:bottom w:w="0" w:type="dxa"/>
              <w:right w:w="15" w:type="dxa"/>
            </w:tcMar>
            <w:vAlign w:val="bottom"/>
            <w:hideMark/>
          </w:tcPr>
          <w:p w14:paraId="0974D229" w14:textId="77777777" w:rsidR="00235701" w:rsidRPr="009B73BF" w:rsidRDefault="00235701" w:rsidP="00E84496">
            <w:pPr>
              <w:spacing w:before="80" w:after="80"/>
              <w:jc w:val="center"/>
              <w:rPr>
                <w:rFonts w:asciiTheme="minorHAnsi" w:eastAsia="Times New Roman" w:hAnsiTheme="minorHAnsi" w:cs="Times New Roman"/>
                <w:b/>
                <w:bCs/>
                <w:color w:val="000000"/>
              </w:rPr>
            </w:pPr>
            <w:r w:rsidRPr="009B73BF">
              <w:rPr>
                <w:rFonts w:asciiTheme="minorHAnsi" w:eastAsia="Times New Roman" w:hAnsiTheme="minorHAnsi" w:cs="Times New Roman"/>
                <w:b/>
                <w:bCs/>
                <w:color w:val="FFFFFF" w:themeColor="background1"/>
              </w:rPr>
              <w:lastRenderedPageBreak/>
              <w:t>Transfer and Applicability</w:t>
            </w:r>
          </w:p>
        </w:tc>
      </w:tr>
      <w:tr w:rsidR="00235701" w:rsidRPr="00235701" w14:paraId="741B2596" w14:textId="77777777" w:rsidTr="00235701">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1716E491"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Learning outcomes are established for multiple gateway math courses to ensure transferability statewide.</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44B4166"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618E522"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1CEC804B" w14:textId="77777777" w:rsidTr="00235701">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507DDC55"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Common course numbers are used.</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77A9800"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525F9CA"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059C7816" w14:textId="77777777" w:rsidTr="00235701">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380282C8"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xml:space="preserve">Multiple gateway math courses are included in </w:t>
            </w:r>
            <w:r w:rsidRPr="00235701">
              <w:rPr>
                <w:rFonts w:eastAsia="Times New Roman" w:cs="Times New Roman"/>
                <w:i/>
                <w:iCs/>
                <w:color w:val="000000"/>
              </w:rPr>
              <w:t>general education/core curriculum.</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35FFBB6"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44852C8"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5A2E4E0C" w14:textId="77777777" w:rsidTr="00235701">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5EB784A9"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A statewide framework for aligning math pathways with broad program areas (meta-majors) is developed and understood by stakeholders.</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16928BA"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A4C3F88"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25AB66C1" w14:textId="77777777" w:rsidTr="00235701">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3D751620"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lastRenderedPageBreak/>
              <w:t>Institutional degree program requirements reflect statewide framework aligning mathematics pathways and programs of study.</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FDE9574"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9185617"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5B3615" w:rsidRPr="00235701" w14:paraId="360C51FC" w14:textId="77777777" w:rsidTr="005B3615">
        <w:trPr>
          <w:trHeight w:val="993"/>
        </w:trPr>
        <w:tc>
          <w:tcPr>
            <w:tcW w:w="13155" w:type="dxa"/>
            <w:gridSpan w:val="4"/>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C5EAE55" w14:textId="77777777" w:rsidR="005B3615" w:rsidRPr="00235701" w:rsidRDefault="005B3615" w:rsidP="00E84496">
            <w:pPr>
              <w:ind w:left="180"/>
              <w:rPr>
                <w:rFonts w:eastAsia="Times New Roman" w:cs="Times New Roman"/>
                <w:color w:val="000000"/>
              </w:rPr>
            </w:pPr>
            <w:r w:rsidRPr="00235701">
              <w:rPr>
                <w:rFonts w:eastAsia="Times New Roman" w:cs="Times New Roman"/>
                <w:color w:val="000000"/>
              </w:rPr>
              <w:t>Additional reflections related to transfer and applicability:</w:t>
            </w:r>
          </w:p>
          <w:p w14:paraId="496EA18B" w14:textId="34383BE6" w:rsidR="005B3615" w:rsidRPr="00235701" w:rsidRDefault="005B3615" w:rsidP="00E84496">
            <w:pPr>
              <w:ind w:left="180"/>
              <w:rPr>
                <w:rFonts w:eastAsia="Times New Roman" w:cs="Times New Roman"/>
                <w:color w:val="000000"/>
              </w:rPr>
            </w:pPr>
            <w:r w:rsidRPr="00235701">
              <w:rPr>
                <w:rFonts w:eastAsia="Times New Roman" w:cs="Times New Roman"/>
                <w:color w:val="000000"/>
              </w:rPr>
              <w:t> </w:t>
            </w:r>
          </w:p>
          <w:p w14:paraId="3DB3CEAB" w14:textId="023F1754" w:rsidR="005B3615" w:rsidRPr="00235701" w:rsidRDefault="005B3615" w:rsidP="00E84496">
            <w:pPr>
              <w:ind w:left="180"/>
              <w:rPr>
                <w:rFonts w:eastAsia="Times New Roman" w:cs="Times New Roman"/>
                <w:color w:val="000000"/>
              </w:rPr>
            </w:pPr>
            <w:r w:rsidRPr="00235701">
              <w:rPr>
                <w:rFonts w:eastAsia="Times New Roman" w:cs="Times New Roman"/>
                <w:color w:val="000000"/>
              </w:rPr>
              <w:t> </w:t>
            </w:r>
          </w:p>
        </w:tc>
      </w:tr>
      <w:tr w:rsidR="00235701" w:rsidRPr="00235701" w14:paraId="1A33E161" w14:textId="77777777" w:rsidTr="00235701">
        <w:trPr>
          <w:trHeight w:val="300"/>
        </w:trPr>
        <w:tc>
          <w:tcPr>
            <w:tcW w:w="13155"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15" w:type="dxa"/>
              <w:left w:w="15" w:type="dxa"/>
              <w:bottom w:w="0" w:type="dxa"/>
              <w:right w:w="15" w:type="dxa"/>
            </w:tcMar>
            <w:vAlign w:val="bottom"/>
            <w:hideMark/>
          </w:tcPr>
          <w:p w14:paraId="3F116A9D" w14:textId="77777777" w:rsidR="00235701" w:rsidRPr="009B73BF" w:rsidRDefault="00235701" w:rsidP="00E84496">
            <w:pPr>
              <w:spacing w:before="80" w:after="80"/>
              <w:jc w:val="center"/>
              <w:rPr>
                <w:rFonts w:asciiTheme="minorHAnsi" w:eastAsia="Times New Roman" w:hAnsiTheme="minorHAnsi" w:cs="Times New Roman"/>
                <w:b/>
                <w:bCs/>
                <w:color w:val="000000"/>
              </w:rPr>
            </w:pPr>
            <w:r w:rsidRPr="009B73BF">
              <w:rPr>
                <w:rFonts w:asciiTheme="minorHAnsi" w:eastAsia="Times New Roman" w:hAnsiTheme="minorHAnsi" w:cs="Times New Roman"/>
                <w:b/>
                <w:bCs/>
                <w:color w:val="FFFFFF" w:themeColor="background1"/>
              </w:rPr>
              <w:t>Placement and Advising</w:t>
            </w:r>
          </w:p>
        </w:tc>
      </w:tr>
      <w:tr w:rsidR="00235701" w:rsidRPr="00235701" w14:paraId="2C67D432" w14:textId="77777777" w:rsidTr="00235701">
        <w:trPr>
          <w:trHeight w:val="218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5359FFA2"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State placement and advising policies and structures support a comprehensive intake process that allows for multiple measures of student readiness, including but not limited to academic skill assessment, high school performance, non-cognitive skills, and assessment of students' academic and career goals.</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EB0C8F0" w14:textId="77777777" w:rsidR="00235701" w:rsidRPr="00235701" w:rsidRDefault="00235701" w:rsidP="00E84496">
            <w:pPr>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F1965EC"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48B77F58" w14:textId="77777777" w:rsidTr="00235701">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26444441"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State assessment policies and structures (i.e., instruments, diagnostic information, scores) encourage or support alignment with multiple math pathways. State provides support for institutions to align assessment.</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3FB2D09" w14:textId="77777777" w:rsidR="00235701" w:rsidRPr="00235701" w:rsidRDefault="00235701" w:rsidP="00E84496">
            <w:pPr>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5FB6751"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50533811" w14:textId="77777777" w:rsidTr="00BC44CF">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429D229E"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lastRenderedPageBreak/>
              <w:t>The state provides exemplars of advising tools that reflect statewide math pathway alignment and provides opportunities for cross-institutional learning and development of institutional tools.</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145E476" w14:textId="77777777" w:rsidR="00235701" w:rsidRPr="00235701" w:rsidRDefault="00235701" w:rsidP="00E84496">
            <w:pPr>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15A4D46"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5B3615" w:rsidRPr="00235701" w14:paraId="6290D813" w14:textId="77777777" w:rsidTr="005B3615">
        <w:trPr>
          <w:trHeight w:val="893"/>
        </w:trPr>
        <w:tc>
          <w:tcPr>
            <w:tcW w:w="13155"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9399920" w14:textId="77777777" w:rsidR="005B3615" w:rsidRPr="00235701" w:rsidRDefault="005B3615" w:rsidP="00E84496">
            <w:pPr>
              <w:ind w:left="180"/>
              <w:rPr>
                <w:rFonts w:eastAsia="Times New Roman" w:cs="Times New Roman"/>
                <w:color w:val="000000"/>
              </w:rPr>
            </w:pPr>
            <w:r w:rsidRPr="00235701">
              <w:rPr>
                <w:rFonts w:eastAsia="Times New Roman" w:cs="Times New Roman"/>
                <w:color w:val="000000"/>
              </w:rPr>
              <w:t>Additional reflections related to placement and advising:</w:t>
            </w:r>
          </w:p>
          <w:p w14:paraId="4A13542B" w14:textId="0B0B9243" w:rsidR="005B3615" w:rsidRPr="00235701" w:rsidRDefault="005B3615" w:rsidP="00E84496">
            <w:pPr>
              <w:rPr>
                <w:rFonts w:eastAsia="Times New Roman" w:cs="Times New Roman"/>
                <w:color w:val="000000"/>
              </w:rPr>
            </w:pPr>
            <w:r w:rsidRPr="00235701">
              <w:rPr>
                <w:rFonts w:eastAsia="Times New Roman" w:cs="Times New Roman"/>
                <w:color w:val="000000"/>
              </w:rPr>
              <w:t> </w:t>
            </w:r>
          </w:p>
        </w:tc>
      </w:tr>
      <w:tr w:rsidR="00BC44CF" w:rsidRPr="00235701" w14:paraId="572249CB" w14:textId="77777777" w:rsidTr="005B3615">
        <w:trPr>
          <w:trHeight w:val="76"/>
        </w:trPr>
        <w:tc>
          <w:tcPr>
            <w:tcW w:w="6045" w:type="dxa"/>
            <w:tcBorders>
              <w:top w:val="single" w:sz="4" w:space="0" w:color="auto"/>
            </w:tcBorders>
            <w:shd w:val="clear" w:color="auto" w:fill="auto"/>
            <w:tcMar>
              <w:top w:w="15" w:type="dxa"/>
              <w:left w:w="15" w:type="dxa"/>
              <w:bottom w:w="0" w:type="dxa"/>
              <w:right w:w="15" w:type="dxa"/>
            </w:tcMar>
          </w:tcPr>
          <w:p w14:paraId="4ECD2002" w14:textId="77777777" w:rsidR="00BC44CF" w:rsidRPr="00235701" w:rsidRDefault="00BC44CF" w:rsidP="005B3615">
            <w:pPr>
              <w:rPr>
                <w:rFonts w:eastAsia="Times New Roman" w:cs="Times New Roman"/>
                <w:color w:val="000000"/>
              </w:rPr>
            </w:pPr>
          </w:p>
        </w:tc>
        <w:tc>
          <w:tcPr>
            <w:tcW w:w="50" w:type="dxa"/>
            <w:shd w:val="clear" w:color="auto" w:fill="auto"/>
            <w:tcMar>
              <w:top w:w="15" w:type="dxa"/>
              <w:left w:w="15" w:type="dxa"/>
              <w:bottom w:w="0" w:type="dxa"/>
              <w:right w:w="15" w:type="dxa"/>
            </w:tcMar>
          </w:tcPr>
          <w:p w14:paraId="2E51DC72" w14:textId="77777777" w:rsidR="00BC44CF" w:rsidRPr="00235701" w:rsidRDefault="00BC44CF" w:rsidP="00E84496">
            <w:pPr>
              <w:rPr>
                <w:rFonts w:eastAsia="Times New Roman" w:cs="Times New Roman"/>
                <w:color w:val="000000"/>
              </w:rPr>
            </w:pPr>
          </w:p>
        </w:tc>
        <w:tc>
          <w:tcPr>
            <w:tcW w:w="7060" w:type="dxa"/>
            <w:gridSpan w:val="2"/>
            <w:tcBorders>
              <w:top w:val="single" w:sz="4" w:space="0" w:color="auto"/>
            </w:tcBorders>
            <w:shd w:val="clear" w:color="auto" w:fill="auto"/>
            <w:tcMar>
              <w:top w:w="15" w:type="dxa"/>
              <w:left w:w="15" w:type="dxa"/>
              <w:bottom w:w="0" w:type="dxa"/>
              <w:right w:w="15" w:type="dxa"/>
            </w:tcMar>
          </w:tcPr>
          <w:p w14:paraId="1582D496" w14:textId="77777777" w:rsidR="00BC44CF" w:rsidRPr="00235701" w:rsidRDefault="00BC44CF" w:rsidP="00E84496">
            <w:pPr>
              <w:rPr>
                <w:rFonts w:eastAsia="Times New Roman" w:cs="Times New Roman"/>
                <w:color w:val="000000"/>
              </w:rPr>
            </w:pPr>
          </w:p>
        </w:tc>
      </w:tr>
      <w:tr w:rsidR="00235701" w:rsidRPr="00235701" w14:paraId="435D1FF3" w14:textId="77777777" w:rsidTr="005B3615">
        <w:trPr>
          <w:trHeight w:val="300"/>
        </w:trPr>
        <w:tc>
          <w:tcPr>
            <w:tcW w:w="13155" w:type="dxa"/>
            <w:gridSpan w:val="4"/>
            <w:tcBorders>
              <w:left w:val="single" w:sz="4" w:space="0" w:color="auto"/>
              <w:bottom w:val="single" w:sz="4" w:space="0" w:color="auto"/>
              <w:right w:val="single" w:sz="4" w:space="0" w:color="auto"/>
            </w:tcBorders>
            <w:shd w:val="clear" w:color="auto" w:fill="808080" w:themeFill="background1" w:themeFillShade="80"/>
            <w:tcMar>
              <w:top w:w="15" w:type="dxa"/>
              <w:left w:w="15" w:type="dxa"/>
              <w:bottom w:w="0" w:type="dxa"/>
              <w:right w:w="15" w:type="dxa"/>
            </w:tcMar>
            <w:vAlign w:val="center"/>
            <w:hideMark/>
          </w:tcPr>
          <w:p w14:paraId="69BE44AA" w14:textId="77777777" w:rsidR="00235701" w:rsidRPr="009B73BF" w:rsidRDefault="00235701" w:rsidP="005B3615">
            <w:pPr>
              <w:spacing w:before="80" w:after="80"/>
              <w:jc w:val="center"/>
              <w:rPr>
                <w:rFonts w:ascii="Century Gothic" w:eastAsia="Times New Roman" w:hAnsi="Century Gothic" w:cs="Times New Roman"/>
                <w:b/>
                <w:bCs/>
                <w:color w:val="000000"/>
              </w:rPr>
            </w:pPr>
            <w:r w:rsidRPr="009B73BF">
              <w:rPr>
                <w:rFonts w:ascii="Century Gothic" w:eastAsia="Times New Roman" w:hAnsi="Century Gothic" w:cs="Times New Roman"/>
                <w:b/>
                <w:bCs/>
                <w:color w:val="FFFFFF" w:themeColor="background1"/>
              </w:rPr>
              <w:t>Faculty Professional Learning</w:t>
            </w:r>
          </w:p>
        </w:tc>
      </w:tr>
      <w:tr w:rsidR="00235701" w:rsidRPr="00235701" w14:paraId="0F277C89" w14:textId="77777777" w:rsidTr="00235701">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669F8039"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The state provides opportunities and resources for faculty professional development to implement math pathways.</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006E779"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3EABB7C"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2E508C1E" w14:textId="77777777" w:rsidTr="005B3615">
        <w:trPr>
          <w:trHeight w:val="993"/>
        </w:trPr>
        <w:tc>
          <w:tcPr>
            <w:tcW w:w="13155" w:type="dxa"/>
            <w:gridSpan w:val="4"/>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8E14A3D"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Additional reflections related to faculty professional learning:</w:t>
            </w:r>
          </w:p>
          <w:p w14:paraId="75EA0862"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w:t>
            </w:r>
          </w:p>
        </w:tc>
      </w:tr>
      <w:tr w:rsidR="00235701" w:rsidRPr="00235701" w14:paraId="579F49D7" w14:textId="77777777" w:rsidTr="00235701">
        <w:trPr>
          <w:trHeight w:val="300"/>
        </w:trPr>
        <w:tc>
          <w:tcPr>
            <w:tcW w:w="13155"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15" w:type="dxa"/>
              <w:left w:w="15" w:type="dxa"/>
              <w:bottom w:w="0" w:type="dxa"/>
              <w:right w:w="15" w:type="dxa"/>
            </w:tcMar>
            <w:vAlign w:val="bottom"/>
            <w:hideMark/>
          </w:tcPr>
          <w:p w14:paraId="6EF211BC" w14:textId="77777777" w:rsidR="00235701" w:rsidRPr="009B73BF" w:rsidRDefault="00235701" w:rsidP="00E84496">
            <w:pPr>
              <w:spacing w:before="80" w:after="80"/>
              <w:jc w:val="center"/>
              <w:rPr>
                <w:rFonts w:asciiTheme="minorHAnsi" w:eastAsia="Times New Roman" w:hAnsiTheme="minorHAnsi" w:cs="Times New Roman"/>
                <w:b/>
                <w:bCs/>
                <w:color w:val="000000"/>
              </w:rPr>
            </w:pPr>
            <w:r w:rsidRPr="009B73BF">
              <w:rPr>
                <w:rFonts w:asciiTheme="minorHAnsi" w:eastAsia="Times New Roman" w:hAnsiTheme="minorHAnsi" w:cs="Times New Roman"/>
                <w:b/>
                <w:bCs/>
                <w:color w:val="FFFFFF" w:themeColor="background1"/>
              </w:rPr>
              <w:t>K–12 Alignment</w:t>
            </w:r>
          </w:p>
        </w:tc>
      </w:tr>
      <w:tr w:rsidR="00235701" w:rsidRPr="00235701" w14:paraId="53B7AC7B" w14:textId="77777777" w:rsidTr="00235701">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14E0905B"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K–12 and higher education stakeholders communicate regularly and have meaningful opportunities to learn about changes related to mathematics pathways in both sectors.</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60E9EF8"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9F55480"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4C8DCC06" w14:textId="77777777" w:rsidTr="00235701">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4860DFCC"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lastRenderedPageBreak/>
              <w:t xml:space="preserve">Work related to transition courses (i.e., 4th-year high school college prep courses), changes in high school math standards, college readiness in mathematics, and math pathways are aligned across sectors. </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7766B47"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4FE584A"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19D5463A" w14:textId="77777777" w:rsidTr="005B3615">
        <w:trPr>
          <w:trHeight w:val="893"/>
        </w:trPr>
        <w:tc>
          <w:tcPr>
            <w:tcW w:w="13155"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6D8E468"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Additional reflections related to K–12 alignment:</w:t>
            </w:r>
          </w:p>
          <w:p w14:paraId="79BF6F00" w14:textId="77777777" w:rsidR="00235701" w:rsidRPr="00235701" w:rsidRDefault="00235701" w:rsidP="00E84496">
            <w:pPr>
              <w:rPr>
                <w:rFonts w:eastAsia="Times New Roman" w:cs="Times New Roman"/>
                <w:color w:val="000000"/>
              </w:rPr>
            </w:pPr>
            <w:r w:rsidRPr="00235701">
              <w:rPr>
                <w:rFonts w:eastAsia="Times New Roman" w:cs="Times New Roman"/>
                <w:color w:val="000000"/>
              </w:rPr>
              <w:t> </w:t>
            </w:r>
          </w:p>
          <w:p w14:paraId="401251B4" w14:textId="77777777" w:rsidR="00235701" w:rsidRPr="00235701" w:rsidRDefault="00235701" w:rsidP="00E84496">
            <w:pPr>
              <w:rPr>
                <w:rFonts w:eastAsia="Times New Roman" w:cs="Times New Roman"/>
                <w:color w:val="000000"/>
              </w:rPr>
            </w:pPr>
            <w:r w:rsidRPr="00235701">
              <w:rPr>
                <w:rFonts w:eastAsia="Times New Roman" w:cs="Times New Roman"/>
                <w:color w:val="000000"/>
              </w:rPr>
              <w:t> </w:t>
            </w:r>
          </w:p>
        </w:tc>
      </w:tr>
      <w:tr w:rsidR="00235701" w:rsidRPr="00235701" w14:paraId="17B5A174" w14:textId="77777777" w:rsidTr="00235701">
        <w:trPr>
          <w:trHeight w:val="489"/>
        </w:trPr>
        <w:tc>
          <w:tcPr>
            <w:tcW w:w="13155"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15" w:type="dxa"/>
              <w:left w:w="15" w:type="dxa"/>
              <w:bottom w:w="0" w:type="dxa"/>
              <w:right w:w="15" w:type="dxa"/>
            </w:tcMar>
            <w:vAlign w:val="center"/>
          </w:tcPr>
          <w:p w14:paraId="25F3DEC3" w14:textId="77777777" w:rsidR="00235701" w:rsidRPr="009B73BF" w:rsidRDefault="00235701" w:rsidP="00E84496">
            <w:pPr>
              <w:jc w:val="center"/>
              <w:rPr>
                <w:rFonts w:asciiTheme="minorHAnsi" w:eastAsia="Times New Roman" w:hAnsiTheme="minorHAnsi" w:cs="Times New Roman"/>
                <w:b/>
                <w:color w:val="000000"/>
              </w:rPr>
            </w:pPr>
            <w:r w:rsidRPr="009B73BF">
              <w:rPr>
                <w:rFonts w:asciiTheme="minorHAnsi" w:eastAsia="Times New Roman" w:hAnsiTheme="minorHAnsi" w:cs="Times New Roman"/>
                <w:b/>
                <w:color w:val="FFFFFF" w:themeColor="background1"/>
              </w:rPr>
              <w:t>Data and Evaluation</w:t>
            </w:r>
          </w:p>
        </w:tc>
      </w:tr>
      <w:tr w:rsidR="00235701" w:rsidRPr="00235701" w14:paraId="2602A825" w14:textId="77777777" w:rsidTr="00235701">
        <w:trPr>
          <w:trHeight w:val="1800"/>
        </w:trPr>
        <w:tc>
          <w:tcPr>
            <w:tcW w:w="6135"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DFFA4FA"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The state collects accurate course-level data to assess math course enrollment and completion.</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4368C963"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2FDA9F85" w14:textId="77777777" w:rsidTr="00235701">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4EF94A5D"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Success metrics such as enrollment, and course and sequence completion (disaggregated by race/ethnicity, income, gender, and program of study) are identified.</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CA6B118"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1E4C15B"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56969638" w14:textId="77777777" w:rsidTr="00235701">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71267486" w14:textId="77777777" w:rsidR="00235701" w:rsidRPr="00235701" w:rsidRDefault="00235701" w:rsidP="00E84496">
            <w:pPr>
              <w:ind w:left="180"/>
              <w:rPr>
                <w:rFonts w:eastAsia="Times New Roman" w:cs="Times New Roman"/>
                <w:color w:val="000000"/>
              </w:rPr>
            </w:pPr>
            <w:proofErr w:type="gramStart"/>
            <w:r w:rsidRPr="00235701">
              <w:rPr>
                <w:rFonts w:eastAsia="Times New Roman" w:cs="Times New Roman"/>
                <w:color w:val="000000"/>
              </w:rPr>
              <w:t>State/system data are regularly used by institutions</w:t>
            </w:r>
            <w:proofErr w:type="gramEnd"/>
            <w:r w:rsidRPr="00235701">
              <w:rPr>
                <w:rFonts w:eastAsia="Times New Roman" w:cs="Times New Roman"/>
                <w:color w:val="000000"/>
              </w:rPr>
              <w:t>.</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B513642"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59B6C4D"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7D2DC847" w14:textId="77777777" w:rsidTr="00235701">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6A0DD0C9"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lastRenderedPageBreak/>
              <w:t>The state supports cross-institutional review and analysis of math course progress and success.</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F0FA52F"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640C0B6"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6706B3E5" w14:textId="77777777" w:rsidTr="005B3615">
        <w:trPr>
          <w:trHeight w:val="903"/>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6069348B"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Additional reflections related to data and evaluation:</w:t>
            </w:r>
          </w:p>
        </w:tc>
        <w:tc>
          <w:tcPr>
            <w:tcW w:w="50" w:type="dxa"/>
            <w:tcBorders>
              <w:top w:val="nil"/>
              <w:left w:val="nil"/>
              <w:bottom w:val="single" w:sz="4" w:space="0" w:color="auto"/>
              <w:right w:val="nil"/>
            </w:tcBorders>
            <w:shd w:val="clear" w:color="auto" w:fill="auto"/>
            <w:tcMar>
              <w:top w:w="15" w:type="dxa"/>
              <w:left w:w="15" w:type="dxa"/>
              <w:bottom w:w="0" w:type="dxa"/>
              <w:right w:w="15" w:type="dxa"/>
            </w:tcMar>
            <w:hideMark/>
          </w:tcPr>
          <w:p w14:paraId="3F118FF0"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FCBC30E"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w:t>
            </w:r>
          </w:p>
        </w:tc>
      </w:tr>
      <w:tr w:rsidR="00235701" w:rsidRPr="00235701" w14:paraId="47862DB4" w14:textId="77777777" w:rsidTr="00235701">
        <w:trPr>
          <w:trHeight w:val="300"/>
        </w:trPr>
        <w:tc>
          <w:tcPr>
            <w:tcW w:w="6045" w:type="dxa"/>
            <w:tcBorders>
              <w:top w:val="nil"/>
              <w:left w:val="nil"/>
              <w:bottom w:val="nil"/>
              <w:right w:val="nil"/>
            </w:tcBorders>
            <w:shd w:val="clear" w:color="auto" w:fill="auto"/>
            <w:tcMar>
              <w:top w:w="15" w:type="dxa"/>
              <w:left w:w="15" w:type="dxa"/>
              <w:bottom w:w="0" w:type="dxa"/>
              <w:right w:w="15" w:type="dxa"/>
            </w:tcMar>
            <w:vAlign w:val="bottom"/>
            <w:hideMark/>
          </w:tcPr>
          <w:p w14:paraId="073040CC" w14:textId="77777777" w:rsidR="00235701" w:rsidRPr="00235701" w:rsidRDefault="00235701" w:rsidP="00E84496">
            <w:pPr>
              <w:rPr>
                <w:rFonts w:eastAsia="Times New Roman" w:cs="Times New Roman"/>
                <w:color w:val="000000"/>
              </w:rPr>
            </w:pPr>
          </w:p>
        </w:tc>
        <w:tc>
          <w:tcPr>
            <w:tcW w:w="50" w:type="dxa"/>
            <w:tcBorders>
              <w:top w:val="nil"/>
              <w:left w:val="nil"/>
              <w:bottom w:val="nil"/>
              <w:right w:val="nil"/>
            </w:tcBorders>
            <w:shd w:val="clear" w:color="auto" w:fill="auto"/>
            <w:tcMar>
              <w:top w:w="15" w:type="dxa"/>
              <w:left w:w="15" w:type="dxa"/>
              <w:bottom w:w="0" w:type="dxa"/>
              <w:right w:w="15" w:type="dxa"/>
            </w:tcMar>
            <w:vAlign w:val="bottom"/>
            <w:hideMark/>
          </w:tcPr>
          <w:p w14:paraId="61327519" w14:textId="77777777" w:rsidR="00235701" w:rsidRPr="00235701" w:rsidRDefault="00235701" w:rsidP="00E84496">
            <w:pPr>
              <w:rPr>
                <w:rFonts w:eastAsia="Times New Roman" w:cs="Times New Roman"/>
                <w:color w:val="000000"/>
              </w:rPr>
            </w:pPr>
          </w:p>
        </w:tc>
        <w:tc>
          <w:tcPr>
            <w:tcW w:w="7060" w:type="dxa"/>
            <w:gridSpan w:val="2"/>
            <w:tcBorders>
              <w:top w:val="single" w:sz="4" w:space="0" w:color="auto"/>
              <w:left w:val="nil"/>
              <w:bottom w:val="nil"/>
            </w:tcBorders>
            <w:shd w:val="clear" w:color="auto" w:fill="auto"/>
            <w:noWrap/>
            <w:tcMar>
              <w:top w:w="15" w:type="dxa"/>
              <w:left w:w="15" w:type="dxa"/>
              <w:bottom w:w="0" w:type="dxa"/>
              <w:right w:w="15" w:type="dxa"/>
            </w:tcMar>
            <w:vAlign w:val="bottom"/>
            <w:hideMark/>
          </w:tcPr>
          <w:p w14:paraId="67C3399D" w14:textId="77777777" w:rsidR="00235701" w:rsidRPr="00235701" w:rsidRDefault="00235701" w:rsidP="00E84496">
            <w:pPr>
              <w:rPr>
                <w:rFonts w:eastAsia="Times New Roman" w:cs="Times New Roman"/>
                <w:color w:val="000000"/>
              </w:rPr>
            </w:pPr>
          </w:p>
        </w:tc>
      </w:tr>
    </w:tbl>
    <w:p w14:paraId="43F9E760" w14:textId="0D4F5953" w:rsidR="005E6C58" w:rsidRPr="00235701" w:rsidRDefault="005E6C58" w:rsidP="00235701"/>
    <w:sectPr w:rsidR="005E6C58" w:rsidRPr="00235701" w:rsidSect="00F34897">
      <w:headerReference w:type="default" r:id="rId8"/>
      <w:footerReference w:type="default" r:id="rId9"/>
      <w:headerReference w:type="first" r:id="rId10"/>
      <w:footerReference w:type="first" r:id="rId11"/>
      <w:pgSz w:w="15840" w:h="12240" w:orient="landscape"/>
      <w:pgMar w:top="1440" w:right="1440" w:bottom="1440" w:left="1440" w:header="720" w:footer="103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B0944" w14:textId="77777777" w:rsidR="00E81402" w:rsidRDefault="00E81402" w:rsidP="00996F27">
      <w:r>
        <w:separator/>
      </w:r>
    </w:p>
  </w:endnote>
  <w:endnote w:type="continuationSeparator" w:id="0">
    <w:p w14:paraId="7AF470E7" w14:textId="77777777" w:rsidR="00E81402" w:rsidRDefault="00E81402" w:rsidP="0099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BAD86" w14:textId="64BE7FE4" w:rsidR="00C00E66" w:rsidRPr="00BE5C34" w:rsidRDefault="00C00E66" w:rsidP="00E76AD8">
    <w:pPr>
      <w:ind w:right="-900"/>
      <w:jc w:val="right"/>
      <w:rPr>
        <w:rFonts w:ascii="Arial" w:hAnsi="Arial"/>
        <w:color w:val="808080" w:themeColor="background1" w:themeShade="80"/>
        <w:sz w:val="12"/>
        <w:szCs w:val="12"/>
      </w:rPr>
    </w:pPr>
    <w:r w:rsidRPr="00BE5C34">
      <w:rPr>
        <w:rFonts w:ascii="Arial" w:hAnsi="Arial" w:cs="Times New Roman"/>
        <w:color w:val="808080" w:themeColor="background1" w:themeShade="80"/>
        <w:sz w:val="12"/>
        <w:szCs w:val="12"/>
      </w:rPr>
      <w:t>2</w:t>
    </w:r>
    <w:r w:rsidR="005B3615">
      <w:rPr>
        <w:rFonts w:ascii="Arial" w:hAnsi="Arial" w:cs="Times New Roman"/>
        <w:color w:val="808080" w:themeColor="background1" w:themeShade="80"/>
        <w:sz w:val="12"/>
        <w:szCs w:val="12"/>
      </w:rPr>
      <w:t>017</w:t>
    </w:r>
  </w:p>
  <w:p w14:paraId="4C347595" w14:textId="124D96A8" w:rsidR="00C00E66" w:rsidRPr="00C14922" w:rsidRDefault="00C00E66" w:rsidP="005E6C58">
    <w:pPr>
      <w:pStyle w:val="Footer"/>
      <w:framePr w:w="353" w:h="305" w:hRule="exact" w:wrap="around" w:vAnchor="text" w:hAnchor="page" w:x="7756" w:y="482"/>
      <w:jc w:val="center"/>
      <w:rPr>
        <w:rStyle w:val="PageNumber"/>
        <w:szCs w:val="20"/>
      </w:rPr>
    </w:pPr>
    <w:r w:rsidRPr="00C14922">
      <w:rPr>
        <w:rStyle w:val="PageNumber"/>
        <w:szCs w:val="20"/>
      </w:rPr>
      <w:fldChar w:fldCharType="begin"/>
    </w:r>
    <w:r w:rsidRPr="00C14922">
      <w:rPr>
        <w:rStyle w:val="PageNumber"/>
        <w:szCs w:val="20"/>
      </w:rPr>
      <w:instrText xml:space="preserve">PAGE  </w:instrText>
    </w:r>
    <w:r w:rsidRPr="00C14922">
      <w:rPr>
        <w:rStyle w:val="PageNumber"/>
        <w:szCs w:val="20"/>
      </w:rPr>
      <w:fldChar w:fldCharType="separate"/>
    </w:r>
    <w:r w:rsidR="00435B60">
      <w:rPr>
        <w:rStyle w:val="PageNumber"/>
        <w:noProof/>
        <w:szCs w:val="20"/>
      </w:rPr>
      <w:t>8</w:t>
    </w:r>
    <w:r w:rsidRPr="00C14922">
      <w:rPr>
        <w:rStyle w:val="PageNumber"/>
        <w:szCs w:val="20"/>
      </w:rPr>
      <w:fldChar w:fldCharType="end"/>
    </w:r>
  </w:p>
  <w:p w14:paraId="6497D773" w14:textId="208596F6" w:rsidR="00C00E66" w:rsidRPr="008013DD" w:rsidRDefault="00C00E66" w:rsidP="009D73DA">
    <w:pPr>
      <w:pStyle w:val="Footer"/>
      <w:tabs>
        <w:tab w:val="clear" w:pos="4320"/>
        <w:tab w:val="clear" w:pos="8640"/>
      </w:tabs>
    </w:pPr>
    <w:r>
      <w:rPr>
        <w:noProof/>
      </w:rPr>
      <w:drawing>
        <wp:anchor distT="0" distB="0" distL="114300" distR="114300" simplePos="0" relativeHeight="251673600" behindDoc="1" locked="0" layoutInCell="1" allowOverlap="1" wp14:anchorId="1C9259C1" wp14:editId="5F50382C">
          <wp:simplePos x="0" y="0"/>
          <wp:positionH relativeFrom="column">
            <wp:posOffset>-914400</wp:posOffset>
          </wp:positionH>
          <wp:positionV relativeFrom="paragraph">
            <wp:posOffset>20320</wp:posOffset>
          </wp:positionV>
          <wp:extent cx="10058400" cy="81661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8166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18D45" w14:textId="141E273F" w:rsidR="00C00E66" w:rsidRPr="00BE5C34" w:rsidRDefault="00C00E66" w:rsidP="00467618">
    <w:pPr>
      <w:ind w:right="-900"/>
      <w:jc w:val="right"/>
      <w:rPr>
        <w:rFonts w:ascii="Arial" w:hAnsi="Arial"/>
        <w:color w:val="808080" w:themeColor="background1" w:themeShade="80"/>
        <w:sz w:val="12"/>
        <w:szCs w:val="12"/>
      </w:rPr>
    </w:pPr>
    <w:r w:rsidRPr="00BE5C34">
      <w:rPr>
        <w:rFonts w:ascii="Arial" w:hAnsi="Arial" w:cs="Times New Roman"/>
        <w:color w:val="808080" w:themeColor="background1" w:themeShade="80"/>
        <w:sz w:val="12"/>
        <w:szCs w:val="12"/>
      </w:rPr>
      <w:t>2</w:t>
    </w:r>
    <w:r w:rsidR="005B3615">
      <w:rPr>
        <w:rFonts w:ascii="Arial" w:hAnsi="Arial" w:cs="Times New Roman"/>
        <w:color w:val="808080" w:themeColor="background1" w:themeShade="80"/>
        <w:sz w:val="12"/>
        <w:szCs w:val="12"/>
      </w:rPr>
      <w:t>017</w:t>
    </w:r>
  </w:p>
  <w:p w14:paraId="4A04E6E4" w14:textId="0E1BC0E0" w:rsidR="00C00E66" w:rsidRDefault="00C00E66">
    <w:pPr>
      <w:pStyle w:val="Footer"/>
    </w:pPr>
    <w:r>
      <w:rPr>
        <w:noProof/>
      </w:rPr>
      <w:drawing>
        <wp:anchor distT="0" distB="0" distL="114300" distR="114300" simplePos="0" relativeHeight="251672576" behindDoc="1" locked="0" layoutInCell="1" allowOverlap="1" wp14:anchorId="3099BD00" wp14:editId="72CF3D81">
          <wp:simplePos x="0" y="0"/>
          <wp:positionH relativeFrom="column">
            <wp:posOffset>-914400</wp:posOffset>
          </wp:positionH>
          <wp:positionV relativeFrom="paragraph">
            <wp:posOffset>20320</wp:posOffset>
          </wp:positionV>
          <wp:extent cx="10058400" cy="81661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8166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7FEBE" w14:textId="77777777" w:rsidR="00E81402" w:rsidRDefault="00E81402" w:rsidP="00996F27">
      <w:r>
        <w:separator/>
      </w:r>
    </w:p>
  </w:footnote>
  <w:footnote w:type="continuationSeparator" w:id="0">
    <w:p w14:paraId="55C077CA" w14:textId="77777777" w:rsidR="00E81402" w:rsidRDefault="00E81402" w:rsidP="00996F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BC9FB" w14:textId="35B662BF" w:rsidR="00C00E66" w:rsidRPr="00E42C4F" w:rsidRDefault="004C4075" w:rsidP="00CD7A0E">
    <w:pPr>
      <w:pStyle w:val="Header"/>
      <w:jc w:val="right"/>
      <w:rPr>
        <w:sz w:val="20"/>
        <w:szCs w:val="20"/>
      </w:rPr>
    </w:pPr>
    <w:r w:rsidRPr="00E42C4F">
      <w:rPr>
        <w:rFonts w:ascii="Century Gothic" w:hAnsi="Century Gothic"/>
        <w:sz w:val="20"/>
        <w:szCs w:val="20"/>
      </w:rPr>
      <w:t>State Readiness Assessment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8"/>
    </w:tblGrid>
    <w:tr w:rsidR="00C00E66" w14:paraId="0C469AE9" w14:textId="77777777" w:rsidTr="00A70FA1">
      <w:tc>
        <w:tcPr>
          <w:tcW w:w="11358" w:type="dxa"/>
        </w:tcPr>
        <w:p w14:paraId="731BCAF9" w14:textId="688D3BB7" w:rsidR="00C00E66" w:rsidRPr="00BD1903" w:rsidRDefault="004C4075" w:rsidP="00F34897">
          <w:pPr>
            <w:tabs>
              <w:tab w:val="left" w:pos="7200"/>
            </w:tabs>
            <w:spacing w:before="60" w:after="120"/>
            <w:ind w:right="432"/>
            <w:rPr>
              <w:rFonts w:ascii="Century Gothic" w:hAnsi="Century Gothic"/>
              <w:b/>
              <w:sz w:val="36"/>
              <w:szCs w:val="36"/>
            </w:rPr>
          </w:pPr>
          <w:r>
            <w:rPr>
              <w:rFonts w:ascii="Century Gothic" w:hAnsi="Century Gothic"/>
              <w:b/>
              <w:sz w:val="36"/>
              <w:szCs w:val="36"/>
            </w:rPr>
            <w:br/>
          </w:r>
          <w:r w:rsidR="00C00E66">
            <w:rPr>
              <w:rFonts w:ascii="Century Gothic" w:hAnsi="Century Gothic"/>
              <w:b/>
              <w:noProof/>
              <w:sz w:val="36"/>
              <w:szCs w:val="36"/>
            </w:rPr>
            <w:drawing>
              <wp:anchor distT="0" distB="0" distL="114300" distR="114300" simplePos="0" relativeHeight="251671552" behindDoc="1" locked="0" layoutInCell="1" allowOverlap="1" wp14:anchorId="76536764" wp14:editId="67EF674C">
                <wp:simplePos x="0" y="0"/>
                <wp:positionH relativeFrom="column">
                  <wp:posOffset>7160260</wp:posOffset>
                </wp:positionH>
                <wp:positionV relativeFrom="paragraph">
                  <wp:posOffset>-457200</wp:posOffset>
                </wp:positionV>
                <wp:extent cx="1983740" cy="10966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740"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36"/>
              <w:szCs w:val="36"/>
            </w:rPr>
            <w:t>State Readiness Assessment</w:t>
          </w:r>
        </w:p>
      </w:tc>
    </w:tr>
  </w:tbl>
  <w:p w14:paraId="6F0556D0" w14:textId="0E70B2E3" w:rsidR="00C00E66" w:rsidRPr="00937DC6" w:rsidRDefault="00C00E66" w:rsidP="00493563">
    <w:pPr>
      <w:pStyle w:val="Header"/>
      <w:tabs>
        <w:tab w:val="clear" w:pos="4320"/>
        <w:tab w:val="clear" w:pos="8640"/>
      </w:tabs>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35F"/>
    <w:multiLevelType w:val="hybridMultilevel"/>
    <w:tmpl w:val="9402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E5419"/>
    <w:multiLevelType w:val="hybridMultilevel"/>
    <w:tmpl w:val="827C6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E50391"/>
    <w:multiLevelType w:val="hybridMultilevel"/>
    <w:tmpl w:val="ED9A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374BC0"/>
    <w:multiLevelType w:val="hybridMultilevel"/>
    <w:tmpl w:val="9FF4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60"/>
    <w:rsid w:val="000C51CD"/>
    <w:rsid w:val="000C5A1A"/>
    <w:rsid w:val="00136D29"/>
    <w:rsid w:val="00163353"/>
    <w:rsid w:val="00185FE2"/>
    <w:rsid w:val="00195F40"/>
    <w:rsid w:val="001D348F"/>
    <w:rsid w:val="001D7F4A"/>
    <w:rsid w:val="00207535"/>
    <w:rsid w:val="00235701"/>
    <w:rsid w:val="002833D3"/>
    <w:rsid w:val="002A5F47"/>
    <w:rsid w:val="00306169"/>
    <w:rsid w:val="003120B9"/>
    <w:rsid w:val="003212E4"/>
    <w:rsid w:val="003A1174"/>
    <w:rsid w:val="003A7B33"/>
    <w:rsid w:val="0040070A"/>
    <w:rsid w:val="004258F3"/>
    <w:rsid w:val="00435B60"/>
    <w:rsid w:val="00467618"/>
    <w:rsid w:val="004879FF"/>
    <w:rsid w:val="00493563"/>
    <w:rsid w:val="004A2BDD"/>
    <w:rsid w:val="004B0EA0"/>
    <w:rsid w:val="004C0E19"/>
    <w:rsid w:val="004C4075"/>
    <w:rsid w:val="004E0033"/>
    <w:rsid w:val="00530B30"/>
    <w:rsid w:val="00535241"/>
    <w:rsid w:val="00592E03"/>
    <w:rsid w:val="005B3615"/>
    <w:rsid w:val="005E44F4"/>
    <w:rsid w:val="005E6C58"/>
    <w:rsid w:val="00643DCF"/>
    <w:rsid w:val="006446F5"/>
    <w:rsid w:val="0067700D"/>
    <w:rsid w:val="006B23F7"/>
    <w:rsid w:val="006D095F"/>
    <w:rsid w:val="00702BF5"/>
    <w:rsid w:val="00725AB2"/>
    <w:rsid w:val="00726722"/>
    <w:rsid w:val="0073768B"/>
    <w:rsid w:val="007C5FEF"/>
    <w:rsid w:val="008013DD"/>
    <w:rsid w:val="00840AE6"/>
    <w:rsid w:val="00884752"/>
    <w:rsid w:val="008E1F39"/>
    <w:rsid w:val="008F227A"/>
    <w:rsid w:val="00937DC6"/>
    <w:rsid w:val="00965FBA"/>
    <w:rsid w:val="0099290C"/>
    <w:rsid w:val="00996F27"/>
    <w:rsid w:val="009A0513"/>
    <w:rsid w:val="009A7905"/>
    <w:rsid w:val="009B73BF"/>
    <w:rsid w:val="009D2EB7"/>
    <w:rsid w:val="009D73DA"/>
    <w:rsid w:val="009E4D1D"/>
    <w:rsid w:val="009E604F"/>
    <w:rsid w:val="00A7007E"/>
    <w:rsid w:val="00A70FA1"/>
    <w:rsid w:val="00AA1AB6"/>
    <w:rsid w:val="00AF1564"/>
    <w:rsid w:val="00B01D70"/>
    <w:rsid w:val="00B423BA"/>
    <w:rsid w:val="00B51FA4"/>
    <w:rsid w:val="00B52920"/>
    <w:rsid w:val="00BC44CF"/>
    <w:rsid w:val="00BD1903"/>
    <w:rsid w:val="00BD3913"/>
    <w:rsid w:val="00BE5C34"/>
    <w:rsid w:val="00BF5D3D"/>
    <w:rsid w:val="00C00E66"/>
    <w:rsid w:val="00CD7A0E"/>
    <w:rsid w:val="00D42B07"/>
    <w:rsid w:val="00DC11FB"/>
    <w:rsid w:val="00DE350D"/>
    <w:rsid w:val="00DE783C"/>
    <w:rsid w:val="00DF6068"/>
    <w:rsid w:val="00E42C4F"/>
    <w:rsid w:val="00E76AD8"/>
    <w:rsid w:val="00E81402"/>
    <w:rsid w:val="00EC77A8"/>
    <w:rsid w:val="00F04356"/>
    <w:rsid w:val="00F34897"/>
    <w:rsid w:val="00F5321D"/>
    <w:rsid w:val="00F54348"/>
    <w:rsid w:val="00F964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74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3F7"/>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F27"/>
    <w:pPr>
      <w:tabs>
        <w:tab w:val="center" w:pos="4320"/>
        <w:tab w:val="right" w:pos="8640"/>
      </w:tabs>
    </w:pPr>
  </w:style>
  <w:style w:type="character" w:customStyle="1" w:styleId="HeaderChar">
    <w:name w:val="Header Char"/>
    <w:basedOn w:val="DefaultParagraphFont"/>
    <w:link w:val="Header"/>
    <w:uiPriority w:val="99"/>
    <w:rsid w:val="00996F27"/>
  </w:style>
  <w:style w:type="paragraph" w:styleId="Footer">
    <w:name w:val="footer"/>
    <w:basedOn w:val="Normal"/>
    <w:link w:val="FooterChar"/>
    <w:uiPriority w:val="99"/>
    <w:unhideWhenUsed/>
    <w:rsid w:val="00996F27"/>
    <w:pPr>
      <w:tabs>
        <w:tab w:val="center" w:pos="4320"/>
        <w:tab w:val="right" w:pos="8640"/>
      </w:tabs>
    </w:pPr>
  </w:style>
  <w:style w:type="character" w:customStyle="1" w:styleId="FooterChar">
    <w:name w:val="Footer Char"/>
    <w:basedOn w:val="DefaultParagraphFont"/>
    <w:link w:val="Footer"/>
    <w:uiPriority w:val="99"/>
    <w:rsid w:val="00996F27"/>
  </w:style>
  <w:style w:type="paragraph" w:styleId="BalloonText">
    <w:name w:val="Balloon Text"/>
    <w:basedOn w:val="Normal"/>
    <w:link w:val="BalloonTextChar"/>
    <w:uiPriority w:val="99"/>
    <w:semiHidden/>
    <w:unhideWhenUsed/>
    <w:rsid w:val="004E0033"/>
    <w:rPr>
      <w:rFonts w:cs="Lucida Grande"/>
      <w:sz w:val="18"/>
      <w:szCs w:val="18"/>
    </w:rPr>
  </w:style>
  <w:style w:type="character" w:customStyle="1" w:styleId="BalloonTextChar">
    <w:name w:val="Balloon Text Char"/>
    <w:basedOn w:val="DefaultParagraphFont"/>
    <w:link w:val="BalloonText"/>
    <w:uiPriority w:val="99"/>
    <w:semiHidden/>
    <w:rsid w:val="004E0033"/>
    <w:rPr>
      <w:rFonts w:ascii="Cambria" w:hAnsi="Cambria" w:cs="Lucida Grande"/>
      <w:sz w:val="18"/>
      <w:szCs w:val="18"/>
    </w:rPr>
  </w:style>
  <w:style w:type="table" w:styleId="TableGrid">
    <w:name w:val="Table Grid"/>
    <w:basedOn w:val="TableNormal"/>
    <w:uiPriority w:val="59"/>
    <w:rsid w:val="004E0033"/>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6068"/>
    <w:pPr>
      <w:ind w:left="720"/>
      <w:contextualSpacing/>
    </w:pPr>
  </w:style>
  <w:style w:type="paragraph" w:styleId="FootnoteText">
    <w:name w:val="footnote text"/>
    <w:basedOn w:val="Normal"/>
    <w:link w:val="FootnoteTextChar"/>
    <w:uiPriority w:val="99"/>
    <w:unhideWhenUsed/>
    <w:rsid w:val="00DF6068"/>
  </w:style>
  <w:style w:type="character" w:customStyle="1" w:styleId="FootnoteTextChar">
    <w:name w:val="Footnote Text Char"/>
    <w:basedOn w:val="DefaultParagraphFont"/>
    <w:link w:val="FootnoteText"/>
    <w:uiPriority w:val="99"/>
    <w:rsid w:val="00DF6068"/>
  </w:style>
  <w:style w:type="character" w:styleId="FootnoteReference">
    <w:name w:val="footnote reference"/>
    <w:basedOn w:val="DefaultParagraphFont"/>
    <w:uiPriority w:val="99"/>
    <w:unhideWhenUsed/>
    <w:rsid w:val="00DF6068"/>
    <w:rPr>
      <w:vertAlign w:val="superscript"/>
    </w:rPr>
  </w:style>
  <w:style w:type="character" w:styleId="CommentReference">
    <w:name w:val="annotation reference"/>
    <w:basedOn w:val="DefaultParagraphFont"/>
    <w:uiPriority w:val="99"/>
    <w:semiHidden/>
    <w:unhideWhenUsed/>
    <w:rsid w:val="00DF6068"/>
    <w:rPr>
      <w:sz w:val="18"/>
      <w:szCs w:val="18"/>
    </w:rPr>
  </w:style>
  <w:style w:type="character" w:styleId="PageNumber">
    <w:name w:val="page number"/>
    <w:basedOn w:val="DefaultParagraphFont"/>
    <w:uiPriority w:val="99"/>
    <w:semiHidden/>
    <w:unhideWhenUsed/>
    <w:rsid w:val="004E0033"/>
    <w:rPr>
      <w:rFonts w:ascii="Century Gothic" w:hAnsi="Century Gothic"/>
      <w:sz w:val="20"/>
    </w:rPr>
  </w:style>
  <w:style w:type="table" w:styleId="LightShading-Accent6">
    <w:name w:val="Light Shading Accent 6"/>
    <w:basedOn w:val="TableNormal"/>
    <w:uiPriority w:val="60"/>
    <w:rsid w:val="004E0033"/>
    <w:rPr>
      <w:color w:val="ABA387" w:themeColor="accent6" w:themeShade="BF"/>
    </w:rPr>
    <w:tblPr>
      <w:tblStyleRowBandSize w:val="1"/>
      <w:tblStyleColBandSize w:val="1"/>
      <w:tblInd w:w="0" w:type="dxa"/>
      <w:tblBorders>
        <w:top w:val="single" w:sz="8" w:space="0" w:color="D6D2C4" w:themeColor="accent6"/>
        <w:bottom w:val="single" w:sz="8" w:space="0" w:color="D6D2C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la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3F0" w:themeFill="accent6" w:themeFillTint="3F"/>
      </w:tcPr>
    </w:tblStylePr>
    <w:tblStylePr w:type="band1Horz">
      <w:tblPr/>
      <w:tcPr>
        <w:tcBorders>
          <w:left w:val="nil"/>
          <w:right w:val="nil"/>
          <w:insideH w:val="nil"/>
          <w:insideV w:val="nil"/>
        </w:tcBorders>
        <w:shd w:val="clear" w:color="auto" w:fill="F4F3F0" w:themeFill="accent6" w:themeFillTint="3F"/>
      </w:tcPr>
    </w:tblStylePr>
  </w:style>
  <w:style w:type="table" w:styleId="LightList-Accent6">
    <w:name w:val="Light List Accent 6"/>
    <w:basedOn w:val="TableNormal"/>
    <w:uiPriority w:val="61"/>
    <w:rsid w:val="004E0033"/>
    <w:tblPr>
      <w:tblStyleRowBandSize w:val="1"/>
      <w:tblStyleColBandSize w:val="1"/>
      <w:tblInd w:w="0" w:type="dxa"/>
      <w:tblBorders>
        <w:top w:val="single" w:sz="8" w:space="0" w:color="D6D2C4" w:themeColor="accent6"/>
        <w:left w:val="single" w:sz="8" w:space="0" w:color="D6D2C4" w:themeColor="accent6"/>
        <w:bottom w:val="single" w:sz="8" w:space="0" w:color="D6D2C4" w:themeColor="accent6"/>
        <w:right w:val="single" w:sz="8" w:space="0" w:color="D6D2C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6D2C4" w:themeFill="accent6"/>
      </w:tcPr>
    </w:tblStylePr>
    <w:tblStylePr w:type="lastRow">
      <w:pPr>
        <w:spacing w:before="0" w:after="0" w:line="240" w:lineRule="auto"/>
      </w:pPr>
      <w:rPr>
        <w:b/>
        <w:bCs/>
      </w:rPr>
      <w:tblPr/>
      <w:tcPr>
        <w:tcBorders>
          <w:top w:val="double" w:sz="6" w:space="0" w:color="D6D2C4" w:themeColor="accent6"/>
          <w:left w:val="single" w:sz="8" w:space="0" w:color="D6D2C4" w:themeColor="accent6"/>
          <w:bottom w:val="single" w:sz="8" w:space="0" w:color="D6D2C4" w:themeColor="accent6"/>
          <w:right w:val="single" w:sz="8" w:space="0" w:color="D6D2C4" w:themeColor="accent6"/>
        </w:tcBorders>
      </w:tcPr>
    </w:tblStylePr>
    <w:tblStylePr w:type="firstCol">
      <w:rPr>
        <w:b/>
        <w:bCs/>
      </w:rPr>
    </w:tblStylePr>
    <w:tblStylePr w:type="lastCol">
      <w:rPr>
        <w:b/>
        <w:bCs/>
      </w:rPr>
    </w:tblStylePr>
    <w:tblStylePr w:type="band1Vert">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tblStylePr w:type="band1Horz">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style>
  <w:style w:type="paragraph" w:styleId="NoSpacing">
    <w:name w:val="No Spacing"/>
    <w:uiPriority w:val="1"/>
    <w:qFormat/>
    <w:rsid w:val="002357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3F7"/>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F27"/>
    <w:pPr>
      <w:tabs>
        <w:tab w:val="center" w:pos="4320"/>
        <w:tab w:val="right" w:pos="8640"/>
      </w:tabs>
    </w:pPr>
  </w:style>
  <w:style w:type="character" w:customStyle="1" w:styleId="HeaderChar">
    <w:name w:val="Header Char"/>
    <w:basedOn w:val="DefaultParagraphFont"/>
    <w:link w:val="Header"/>
    <w:uiPriority w:val="99"/>
    <w:rsid w:val="00996F27"/>
  </w:style>
  <w:style w:type="paragraph" w:styleId="Footer">
    <w:name w:val="footer"/>
    <w:basedOn w:val="Normal"/>
    <w:link w:val="FooterChar"/>
    <w:uiPriority w:val="99"/>
    <w:unhideWhenUsed/>
    <w:rsid w:val="00996F27"/>
    <w:pPr>
      <w:tabs>
        <w:tab w:val="center" w:pos="4320"/>
        <w:tab w:val="right" w:pos="8640"/>
      </w:tabs>
    </w:pPr>
  </w:style>
  <w:style w:type="character" w:customStyle="1" w:styleId="FooterChar">
    <w:name w:val="Footer Char"/>
    <w:basedOn w:val="DefaultParagraphFont"/>
    <w:link w:val="Footer"/>
    <w:uiPriority w:val="99"/>
    <w:rsid w:val="00996F27"/>
  </w:style>
  <w:style w:type="paragraph" w:styleId="BalloonText">
    <w:name w:val="Balloon Text"/>
    <w:basedOn w:val="Normal"/>
    <w:link w:val="BalloonTextChar"/>
    <w:uiPriority w:val="99"/>
    <w:semiHidden/>
    <w:unhideWhenUsed/>
    <w:rsid w:val="004E0033"/>
    <w:rPr>
      <w:rFonts w:cs="Lucida Grande"/>
      <w:sz w:val="18"/>
      <w:szCs w:val="18"/>
    </w:rPr>
  </w:style>
  <w:style w:type="character" w:customStyle="1" w:styleId="BalloonTextChar">
    <w:name w:val="Balloon Text Char"/>
    <w:basedOn w:val="DefaultParagraphFont"/>
    <w:link w:val="BalloonText"/>
    <w:uiPriority w:val="99"/>
    <w:semiHidden/>
    <w:rsid w:val="004E0033"/>
    <w:rPr>
      <w:rFonts w:ascii="Cambria" w:hAnsi="Cambria" w:cs="Lucida Grande"/>
      <w:sz w:val="18"/>
      <w:szCs w:val="18"/>
    </w:rPr>
  </w:style>
  <w:style w:type="table" w:styleId="TableGrid">
    <w:name w:val="Table Grid"/>
    <w:basedOn w:val="TableNormal"/>
    <w:uiPriority w:val="59"/>
    <w:rsid w:val="004E0033"/>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6068"/>
    <w:pPr>
      <w:ind w:left="720"/>
      <w:contextualSpacing/>
    </w:pPr>
  </w:style>
  <w:style w:type="paragraph" w:styleId="FootnoteText">
    <w:name w:val="footnote text"/>
    <w:basedOn w:val="Normal"/>
    <w:link w:val="FootnoteTextChar"/>
    <w:uiPriority w:val="99"/>
    <w:unhideWhenUsed/>
    <w:rsid w:val="00DF6068"/>
  </w:style>
  <w:style w:type="character" w:customStyle="1" w:styleId="FootnoteTextChar">
    <w:name w:val="Footnote Text Char"/>
    <w:basedOn w:val="DefaultParagraphFont"/>
    <w:link w:val="FootnoteText"/>
    <w:uiPriority w:val="99"/>
    <w:rsid w:val="00DF6068"/>
  </w:style>
  <w:style w:type="character" w:styleId="FootnoteReference">
    <w:name w:val="footnote reference"/>
    <w:basedOn w:val="DefaultParagraphFont"/>
    <w:uiPriority w:val="99"/>
    <w:unhideWhenUsed/>
    <w:rsid w:val="00DF6068"/>
    <w:rPr>
      <w:vertAlign w:val="superscript"/>
    </w:rPr>
  </w:style>
  <w:style w:type="character" w:styleId="CommentReference">
    <w:name w:val="annotation reference"/>
    <w:basedOn w:val="DefaultParagraphFont"/>
    <w:uiPriority w:val="99"/>
    <w:semiHidden/>
    <w:unhideWhenUsed/>
    <w:rsid w:val="00DF6068"/>
    <w:rPr>
      <w:sz w:val="18"/>
      <w:szCs w:val="18"/>
    </w:rPr>
  </w:style>
  <w:style w:type="character" w:styleId="PageNumber">
    <w:name w:val="page number"/>
    <w:basedOn w:val="DefaultParagraphFont"/>
    <w:uiPriority w:val="99"/>
    <w:semiHidden/>
    <w:unhideWhenUsed/>
    <w:rsid w:val="004E0033"/>
    <w:rPr>
      <w:rFonts w:ascii="Century Gothic" w:hAnsi="Century Gothic"/>
      <w:sz w:val="20"/>
    </w:rPr>
  </w:style>
  <w:style w:type="table" w:styleId="LightShading-Accent6">
    <w:name w:val="Light Shading Accent 6"/>
    <w:basedOn w:val="TableNormal"/>
    <w:uiPriority w:val="60"/>
    <w:rsid w:val="004E0033"/>
    <w:rPr>
      <w:color w:val="ABA387" w:themeColor="accent6" w:themeShade="BF"/>
    </w:rPr>
    <w:tblPr>
      <w:tblStyleRowBandSize w:val="1"/>
      <w:tblStyleColBandSize w:val="1"/>
      <w:tblInd w:w="0" w:type="dxa"/>
      <w:tblBorders>
        <w:top w:val="single" w:sz="8" w:space="0" w:color="D6D2C4" w:themeColor="accent6"/>
        <w:bottom w:val="single" w:sz="8" w:space="0" w:color="D6D2C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la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3F0" w:themeFill="accent6" w:themeFillTint="3F"/>
      </w:tcPr>
    </w:tblStylePr>
    <w:tblStylePr w:type="band1Horz">
      <w:tblPr/>
      <w:tcPr>
        <w:tcBorders>
          <w:left w:val="nil"/>
          <w:right w:val="nil"/>
          <w:insideH w:val="nil"/>
          <w:insideV w:val="nil"/>
        </w:tcBorders>
        <w:shd w:val="clear" w:color="auto" w:fill="F4F3F0" w:themeFill="accent6" w:themeFillTint="3F"/>
      </w:tcPr>
    </w:tblStylePr>
  </w:style>
  <w:style w:type="table" w:styleId="LightList-Accent6">
    <w:name w:val="Light List Accent 6"/>
    <w:basedOn w:val="TableNormal"/>
    <w:uiPriority w:val="61"/>
    <w:rsid w:val="004E0033"/>
    <w:tblPr>
      <w:tblStyleRowBandSize w:val="1"/>
      <w:tblStyleColBandSize w:val="1"/>
      <w:tblInd w:w="0" w:type="dxa"/>
      <w:tblBorders>
        <w:top w:val="single" w:sz="8" w:space="0" w:color="D6D2C4" w:themeColor="accent6"/>
        <w:left w:val="single" w:sz="8" w:space="0" w:color="D6D2C4" w:themeColor="accent6"/>
        <w:bottom w:val="single" w:sz="8" w:space="0" w:color="D6D2C4" w:themeColor="accent6"/>
        <w:right w:val="single" w:sz="8" w:space="0" w:color="D6D2C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6D2C4" w:themeFill="accent6"/>
      </w:tcPr>
    </w:tblStylePr>
    <w:tblStylePr w:type="lastRow">
      <w:pPr>
        <w:spacing w:before="0" w:after="0" w:line="240" w:lineRule="auto"/>
      </w:pPr>
      <w:rPr>
        <w:b/>
        <w:bCs/>
      </w:rPr>
      <w:tblPr/>
      <w:tcPr>
        <w:tcBorders>
          <w:top w:val="double" w:sz="6" w:space="0" w:color="D6D2C4" w:themeColor="accent6"/>
          <w:left w:val="single" w:sz="8" w:space="0" w:color="D6D2C4" w:themeColor="accent6"/>
          <w:bottom w:val="single" w:sz="8" w:space="0" w:color="D6D2C4" w:themeColor="accent6"/>
          <w:right w:val="single" w:sz="8" w:space="0" w:color="D6D2C4" w:themeColor="accent6"/>
        </w:tcBorders>
      </w:tcPr>
    </w:tblStylePr>
    <w:tblStylePr w:type="firstCol">
      <w:rPr>
        <w:b/>
        <w:bCs/>
      </w:rPr>
    </w:tblStylePr>
    <w:tblStylePr w:type="lastCol">
      <w:rPr>
        <w:b/>
        <w:bCs/>
      </w:rPr>
    </w:tblStylePr>
    <w:tblStylePr w:type="band1Vert">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tblStylePr w:type="band1Horz">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style>
  <w:style w:type="paragraph" w:styleId="NoSpacing">
    <w:name w:val="No Spacing"/>
    <w:uiPriority w:val="1"/>
    <w:qFormat/>
    <w:rsid w:val="00235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CMP (UT Colors)">
      <a:dk1>
        <a:srgbClr val="333F48"/>
      </a:dk1>
      <a:lt1>
        <a:sysClr val="window" lastClr="FFFFFF"/>
      </a:lt1>
      <a:dk2>
        <a:srgbClr val="BF5700"/>
      </a:dk2>
      <a:lt2>
        <a:srgbClr val="D6D2C4"/>
      </a:lt2>
      <a:accent1>
        <a:srgbClr val="333F48"/>
      </a:accent1>
      <a:accent2>
        <a:srgbClr val="005F86"/>
      </a:accent2>
      <a:accent3>
        <a:srgbClr val="43695B"/>
      </a:accent3>
      <a:accent4>
        <a:srgbClr val="F2A900"/>
      </a:accent4>
      <a:accent5>
        <a:srgbClr val="382F2D"/>
      </a:accent5>
      <a:accent6>
        <a:srgbClr val="D6D2C4"/>
      </a:accent6>
      <a:hlink>
        <a:srgbClr val="BF5700"/>
      </a:hlink>
      <a:folHlink>
        <a:srgbClr val="BF5700"/>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1022</Words>
  <Characters>5829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Rachele Seifert</dc:creator>
  <cp:keywords/>
  <dc:description/>
  <cp:lastModifiedBy>Heather Ortiz</cp:lastModifiedBy>
  <cp:revision>2</cp:revision>
  <cp:lastPrinted>2016-09-29T17:32:00Z</cp:lastPrinted>
  <dcterms:created xsi:type="dcterms:W3CDTF">2017-09-03T14:01:00Z</dcterms:created>
  <dcterms:modified xsi:type="dcterms:W3CDTF">2017-09-03T14:01:00Z</dcterms:modified>
</cp:coreProperties>
</file>